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4229" w14:textId="35BD6C9F" w:rsidR="00C47FE7" w:rsidRPr="00C47FE7" w:rsidRDefault="007E605A" w:rsidP="00824A1A">
      <w:pPr>
        <w:pStyle w:val="Heading1"/>
        <w:pBdr>
          <w:bottom w:val="single" w:sz="12" w:space="1" w:color="auto"/>
        </w:pBdr>
        <w:rPr>
          <w:sz w:val="28"/>
          <w:szCs w:val="28"/>
        </w:rPr>
      </w:pPr>
      <w:r w:rsidRPr="007E605A">
        <w:t>Sponsor-Investigator</w:t>
      </w:r>
      <w:r w:rsidR="00CA720C">
        <w:t xml:space="preserve"> Responsibilities for</w:t>
      </w:r>
      <w:r w:rsidR="00831BDB">
        <w:t xml:space="preserve"> Expanded Access</w:t>
      </w:r>
      <w:r w:rsidR="00CA720C">
        <w:t xml:space="preserve"> IDE</w:t>
      </w:r>
      <w:r w:rsidR="00C47FE7">
        <w:t>s</w:t>
      </w:r>
      <w:r w:rsidR="005B657C">
        <w:t xml:space="preserve"> </w:t>
      </w:r>
      <w:r w:rsidR="005B657C" w:rsidRPr="005B657C">
        <w:rPr>
          <w:i/>
          <w:iCs/>
          <w:sz w:val="28"/>
          <w:szCs w:val="28"/>
        </w:rPr>
        <w:t>(for Individual Patient or Small Group Access)</w:t>
      </w:r>
      <w:r w:rsidR="000F21BB">
        <w:rPr>
          <w:i/>
          <w:iCs/>
          <w:sz w:val="28"/>
          <w:szCs w:val="28"/>
        </w:rPr>
        <w:t xml:space="preserve"> </w:t>
      </w:r>
      <w:r w:rsidR="00EC260B" w:rsidRPr="00C47FE7">
        <w:rPr>
          <w:sz w:val="28"/>
          <w:szCs w:val="28"/>
        </w:rPr>
        <w:t>Indiana Clinical and Translational Sciences Institute (CTSI)</w:t>
      </w:r>
      <w:r w:rsidR="00EC260B">
        <w:rPr>
          <w:sz w:val="28"/>
          <w:szCs w:val="28"/>
        </w:rPr>
        <w:t xml:space="preserve"> &amp; </w:t>
      </w:r>
      <w:r w:rsidR="00C47FE7" w:rsidRPr="00C47FE7">
        <w:rPr>
          <w:sz w:val="28"/>
          <w:szCs w:val="28"/>
        </w:rPr>
        <w:t xml:space="preserve">IU </w:t>
      </w:r>
      <w:r w:rsidR="00EC260B">
        <w:rPr>
          <w:sz w:val="28"/>
          <w:szCs w:val="28"/>
        </w:rPr>
        <w:t>Quality Improvement Office (QIO)</w:t>
      </w:r>
    </w:p>
    <w:p w14:paraId="3BA6EDCB" w14:textId="521DE6E0" w:rsidR="00EC260B" w:rsidRDefault="00EC260B" w:rsidP="00EC260B">
      <w:pPr>
        <w:spacing w:after="0" w:line="240" w:lineRule="auto"/>
      </w:pPr>
      <w:r w:rsidRPr="00220B6F">
        <w:rPr>
          <w:sz w:val="24"/>
          <w:szCs w:val="24"/>
        </w:rPr>
        <w:t>Sponsor-Investigator:</w:t>
      </w:r>
    </w:p>
    <w:p w14:paraId="0DFD68DB" w14:textId="602F0008" w:rsidR="00EC260B" w:rsidRPr="00220B6F" w:rsidRDefault="00EC260B" w:rsidP="00EC260B">
      <w:pPr>
        <w:spacing w:after="0" w:line="240" w:lineRule="auto"/>
        <w:rPr>
          <w:sz w:val="24"/>
          <w:szCs w:val="24"/>
        </w:rPr>
      </w:pPr>
      <w:r>
        <w:rPr>
          <w:sz w:val="24"/>
          <w:szCs w:val="24"/>
        </w:rPr>
        <w:t>Regarding IDE application</w:t>
      </w:r>
      <w:r w:rsidRPr="00220B6F">
        <w:rPr>
          <w:sz w:val="24"/>
          <w:szCs w:val="24"/>
        </w:rPr>
        <w:t xml:space="preserve"> for</w:t>
      </w:r>
      <w:r>
        <w:rPr>
          <w:sz w:val="24"/>
          <w:szCs w:val="24"/>
        </w:rPr>
        <w:t xml:space="preserve"> study</w:t>
      </w:r>
      <w:r w:rsidRPr="00220B6F">
        <w:rPr>
          <w:sz w:val="24"/>
          <w:szCs w:val="24"/>
        </w:rPr>
        <w:t>:</w:t>
      </w:r>
    </w:p>
    <w:p w14:paraId="4DAC4072" w14:textId="062118E3" w:rsidR="00E82084" w:rsidRPr="00220B6F" w:rsidRDefault="00C47FE7" w:rsidP="00C47FE7">
      <w:pPr>
        <w:spacing w:after="0" w:line="240" w:lineRule="auto"/>
        <w:rPr>
          <w:sz w:val="24"/>
          <w:szCs w:val="24"/>
        </w:rPr>
      </w:pPr>
      <w:r w:rsidRPr="00220B6F">
        <w:rPr>
          <w:sz w:val="24"/>
          <w:szCs w:val="24"/>
        </w:rPr>
        <w:t>Meeting Participants:</w:t>
      </w:r>
      <w:r w:rsidR="00CC3751" w:rsidRPr="00220B6F">
        <w:rPr>
          <w:sz w:val="24"/>
          <w:szCs w:val="24"/>
        </w:rPr>
        <w:t xml:space="preserve"> </w:t>
      </w:r>
    </w:p>
    <w:p w14:paraId="643139AB" w14:textId="3EC4781C" w:rsidR="00C47FE7" w:rsidRPr="00220B6F" w:rsidRDefault="00C47FE7" w:rsidP="00B659E9">
      <w:pPr>
        <w:spacing w:after="280" w:line="240" w:lineRule="auto"/>
        <w:rPr>
          <w:sz w:val="24"/>
          <w:szCs w:val="24"/>
        </w:rPr>
      </w:pPr>
      <w:r w:rsidRPr="00220B6F">
        <w:rPr>
          <w:sz w:val="24"/>
          <w:szCs w:val="24"/>
        </w:rPr>
        <w:t>Date:</w:t>
      </w:r>
    </w:p>
    <w:p w14:paraId="371022B6" w14:textId="7EB8E90D" w:rsidR="00EC260B" w:rsidRDefault="00EC260B" w:rsidP="00831DB0">
      <w:pPr>
        <w:spacing w:after="270" w:line="240" w:lineRule="auto"/>
        <w:ind w:right="18"/>
        <w:rPr>
          <w:b/>
          <w:bCs/>
        </w:rPr>
      </w:pPr>
      <w:r w:rsidRPr="00F45324">
        <w:rPr>
          <w:b/>
          <w:bCs/>
        </w:rPr>
        <w:t>NOTE:</w:t>
      </w:r>
      <w:r w:rsidR="00B659E9">
        <w:rPr>
          <w:b/>
          <w:bCs/>
        </w:rPr>
        <w:t xml:space="preserve"> </w:t>
      </w:r>
      <w:r w:rsidRPr="00F45324">
        <w:rPr>
          <w:b/>
          <w:bCs/>
        </w:rPr>
        <w:t>The purpose of this meeting is to review the additional</w:t>
      </w:r>
      <w:r w:rsidR="00657A05">
        <w:rPr>
          <w:b/>
          <w:bCs/>
        </w:rPr>
        <w:t xml:space="preserve"> </w:t>
      </w:r>
      <w:r w:rsidRPr="00F45324">
        <w:rPr>
          <w:b/>
          <w:bCs/>
        </w:rPr>
        <w:t>regulatory obligations assigned to a “sponsor” (as the I</w:t>
      </w:r>
      <w:r>
        <w:rPr>
          <w:b/>
          <w:bCs/>
        </w:rPr>
        <w:t>DE</w:t>
      </w:r>
      <w:r w:rsidRPr="00F45324">
        <w:rPr>
          <w:b/>
          <w:bCs/>
        </w:rPr>
        <w:t xml:space="preserve"> holder)</w:t>
      </w:r>
      <w:r w:rsidR="00657A05">
        <w:rPr>
          <w:b/>
          <w:bCs/>
        </w:rPr>
        <w:t xml:space="preserve"> by the FDA (per 21 CFR 812)</w:t>
      </w:r>
      <w:r w:rsidRPr="00F45324">
        <w:rPr>
          <w:b/>
          <w:bCs/>
        </w:rPr>
        <w:t>.</w:t>
      </w:r>
      <w:r w:rsidR="00B659E9">
        <w:rPr>
          <w:b/>
          <w:bCs/>
        </w:rPr>
        <w:t xml:space="preserve"> </w:t>
      </w:r>
      <w:r w:rsidRPr="00F45324">
        <w:rPr>
          <w:b/>
          <w:bCs/>
        </w:rPr>
        <w:t>The obligations of the “investigator” role</w:t>
      </w:r>
      <w:r w:rsidR="00657A05">
        <w:rPr>
          <w:b/>
          <w:bCs/>
        </w:rPr>
        <w:t>, also</w:t>
      </w:r>
      <w:r w:rsidRPr="00F45324">
        <w:rPr>
          <w:b/>
          <w:bCs/>
        </w:rPr>
        <w:t xml:space="preserve"> outlined in 21 CFR </w:t>
      </w:r>
      <w:r>
        <w:rPr>
          <w:b/>
          <w:bCs/>
        </w:rPr>
        <w:t>8</w:t>
      </w:r>
      <w:r w:rsidRPr="00F45324">
        <w:rPr>
          <w:b/>
          <w:bCs/>
        </w:rPr>
        <w:t xml:space="preserve">12 </w:t>
      </w:r>
      <w:r w:rsidRPr="008D74B9">
        <w:t>[specifically described in Subpart C: 21 CFR 812.</w:t>
      </w:r>
      <w:r w:rsidR="00B85D95">
        <w:t>100, 812.110, and 812.140(a)</w:t>
      </w:r>
      <w:r w:rsidRPr="008D74B9">
        <w:t>]</w:t>
      </w:r>
      <w:r w:rsidR="008D74B9" w:rsidRPr="008D74B9">
        <w:rPr>
          <w:b/>
          <w:bCs/>
        </w:rPr>
        <w:t>,</w:t>
      </w:r>
      <w:r w:rsidR="008D74B9">
        <w:rPr>
          <w:b/>
          <w:bCs/>
          <w:color w:val="808080"/>
        </w:rPr>
        <w:t xml:space="preserve"> </w:t>
      </w:r>
      <w:r w:rsidR="008D74B9" w:rsidRPr="008D74B9">
        <w:rPr>
          <w:b/>
          <w:bCs/>
        </w:rPr>
        <w:t>still apply.</w:t>
      </w:r>
      <w:r w:rsidR="00B659E9">
        <w:rPr>
          <w:b/>
          <w:bCs/>
        </w:rPr>
        <w:t xml:space="preserve"> </w:t>
      </w:r>
      <w:r w:rsidR="008D74B9">
        <w:rPr>
          <w:b/>
          <w:bCs/>
        </w:rPr>
        <w:t xml:space="preserve">Additionally, the expectations for both “sponsors” and “investigators” outlined </w:t>
      </w:r>
      <w:r w:rsidRPr="008D74B9">
        <w:rPr>
          <w:b/>
          <w:bCs/>
        </w:rPr>
        <w:t>in ICH GCP E6</w:t>
      </w:r>
      <w:r w:rsidRPr="008D74B9">
        <w:rPr>
          <w:b/>
          <w:bCs/>
          <w:color w:val="808080"/>
        </w:rPr>
        <w:t xml:space="preserve"> </w:t>
      </w:r>
      <w:bookmarkStart w:id="0" w:name="_Hlk191458749"/>
      <w:r w:rsidRPr="008D74B9">
        <w:t xml:space="preserve">[Revision 2 (R2) Section 4 </w:t>
      </w:r>
      <w:r w:rsidR="008D74B9">
        <w:t>–</w:t>
      </w:r>
      <w:r w:rsidRPr="008D74B9">
        <w:t xml:space="preserve"> Investigator</w:t>
      </w:r>
      <w:r w:rsidR="008D74B9">
        <w:t>, Section 5 - Sponsor</w:t>
      </w:r>
      <w:r w:rsidRPr="008D74B9">
        <w:t xml:space="preserve"> and </w:t>
      </w:r>
      <w:r w:rsidR="008D74B9">
        <w:t xml:space="preserve">Draft </w:t>
      </w:r>
      <w:r w:rsidRPr="008D74B9">
        <w:t>Revision 3 (R3), Part III Section 2 – Investigator</w:t>
      </w:r>
      <w:r w:rsidR="008D74B9">
        <w:t>, Section 3 - Sponsor</w:t>
      </w:r>
      <w:r w:rsidRPr="008D74B9">
        <w:t>]</w:t>
      </w:r>
      <w:bookmarkEnd w:id="0"/>
      <w:r>
        <w:rPr>
          <w:b/>
          <w:bCs/>
        </w:rPr>
        <w:t xml:space="preserve"> </w:t>
      </w:r>
      <w:r w:rsidR="008D74B9">
        <w:rPr>
          <w:b/>
          <w:bCs/>
        </w:rPr>
        <w:t>are recommended</w:t>
      </w:r>
      <w:r w:rsidRPr="00F45324">
        <w:rPr>
          <w:b/>
          <w:bCs/>
        </w:rPr>
        <w:t xml:space="preserve"> and should be reviewed independently to ensure compliance with all regulatory expectations.</w:t>
      </w:r>
      <w:r w:rsidR="00B659E9">
        <w:rPr>
          <w:b/>
          <w:bCs/>
        </w:rPr>
        <w:t xml:space="preserve"> </w:t>
      </w:r>
    </w:p>
    <w:p w14:paraId="7073FA0D" w14:textId="0FF3581F" w:rsidR="00886177" w:rsidRDefault="00886177" w:rsidP="00831DB0">
      <w:pPr>
        <w:spacing w:after="260" w:line="240" w:lineRule="auto"/>
        <w:rPr>
          <w:b/>
          <w:bCs/>
        </w:rPr>
      </w:pPr>
      <w:r>
        <w:rPr>
          <w:b/>
          <w:bCs/>
        </w:rPr>
        <w:t>ADDITIONAL NOTE:</w:t>
      </w:r>
      <w:r w:rsidR="00B659E9">
        <w:rPr>
          <w:b/>
          <w:bCs/>
        </w:rPr>
        <w:t xml:space="preserve"> </w:t>
      </w:r>
      <w:r>
        <w:rPr>
          <w:b/>
          <w:bCs/>
        </w:rPr>
        <w:t xml:space="preserve">ICH GCP E6 </w:t>
      </w:r>
      <w:r w:rsidR="002D2469">
        <w:rPr>
          <w:b/>
          <w:bCs/>
        </w:rPr>
        <w:t>i</w:t>
      </w:r>
      <w:r>
        <w:rPr>
          <w:b/>
          <w:bCs/>
        </w:rPr>
        <w:t>s specifically written to address standards for clinical trials of drug and biologic products.</w:t>
      </w:r>
      <w:r w:rsidR="00B659E9">
        <w:rPr>
          <w:b/>
          <w:bCs/>
        </w:rPr>
        <w:t xml:space="preserve"> </w:t>
      </w:r>
      <w:r>
        <w:rPr>
          <w:b/>
          <w:bCs/>
        </w:rPr>
        <w:t xml:space="preserve">The “counterpart” for </w:t>
      </w:r>
      <w:r w:rsidR="004A127E">
        <w:rPr>
          <w:b/>
          <w:bCs/>
        </w:rPr>
        <w:t xml:space="preserve">medical </w:t>
      </w:r>
      <w:r>
        <w:rPr>
          <w:b/>
          <w:bCs/>
        </w:rPr>
        <w:t xml:space="preserve">device trials is ISO 14155:2020, however, ISO standards are subject to copyright </w:t>
      </w:r>
      <w:r w:rsidR="004A127E">
        <w:rPr>
          <w:b/>
          <w:bCs/>
        </w:rPr>
        <w:t xml:space="preserve">protections </w:t>
      </w:r>
      <w:r>
        <w:rPr>
          <w:b/>
          <w:bCs/>
        </w:rPr>
        <w:t xml:space="preserve">and are not </w:t>
      </w:r>
      <w:r w:rsidR="004A127E">
        <w:rPr>
          <w:b/>
          <w:bCs/>
        </w:rPr>
        <w:t xml:space="preserve">made </w:t>
      </w:r>
      <w:r>
        <w:rPr>
          <w:b/>
          <w:bCs/>
        </w:rPr>
        <w:t xml:space="preserve">publicly available. They may </w:t>
      </w:r>
      <w:r w:rsidR="002D2469">
        <w:rPr>
          <w:b/>
          <w:bCs/>
        </w:rPr>
        <w:t xml:space="preserve">be </w:t>
      </w:r>
      <w:r>
        <w:rPr>
          <w:b/>
          <w:bCs/>
        </w:rPr>
        <w:t xml:space="preserve">accessed </w:t>
      </w:r>
      <w:r w:rsidR="004A127E">
        <w:rPr>
          <w:b/>
          <w:bCs/>
        </w:rPr>
        <w:t xml:space="preserve">only </w:t>
      </w:r>
      <w:r w:rsidR="002D2469">
        <w:rPr>
          <w:b/>
          <w:bCs/>
        </w:rPr>
        <w:t>after</w:t>
      </w:r>
      <w:r w:rsidR="004A127E">
        <w:rPr>
          <w:b/>
          <w:bCs/>
        </w:rPr>
        <w:t xml:space="preserve"> purchasing the content directly</w:t>
      </w:r>
      <w:r w:rsidR="002D2469">
        <w:rPr>
          <w:b/>
          <w:bCs/>
        </w:rPr>
        <w:t xml:space="preserve"> from ISO or an authorized retailer</w:t>
      </w:r>
      <w:r>
        <w:rPr>
          <w:b/>
          <w:bCs/>
        </w:rPr>
        <w:t>.</w:t>
      </w:r>
      <w:r w:rsidR="00B659E9">
        <w:rPr>
          <w:b/>
          <w:bCs/>
        </w:rPr>
        <w:t xml:space="preserve"> </w:t>
      </w:r>
      <w:r w:rsidR="002D2469">
        <w:rPr>
          <w:b/>
          <w:bCs/>
        </w:rPr>
        <w:t>As</w:t>
      </w:r>
      <w:r w:rsidR="004A127E">
        <w:rPr>
          <w:b/>
          <w:bCs/>
        </w:rPr>
        <w:t xml:space="preserve"> ISO 14155:2020 revisions </w:t>
      </w:r>
      <w:r w:rsidR="002D2469">
        <w:rPr>
          <w:b/>
          <w:bCs/>
        </w:rPr>
        <w:t xml:space="preserve">have been </w:t>
      </w:r>
      <w:hyperlink r:id="rId11" w:anchor=":~:text=What%20is%20ISO%2014155?,of%20clinical%20data%20by%20regulators" w:history="1">
        <w:r w:rsidR="002D2469" w:rsidRPr="002D2469">
          <w:rPr>
            <w:rStyle w:val="Hyperlink"/>
            <w:b/>
            <w:bCs/>
          </w:rPr>
          <w:t>reported</w:t>
        </w:r>
      </w:hyperlink>
      <w:r w:rsidR="002D2469">
        <w:rPr>
          <w:b/>
          <w:bCs/>
        </w:rPr>
        <w:t xml:space="preserve"> to largely align the standar</w:t>
      </w:r>
      <w:r w:rsidR="004A127E">
        <w:rPr>
          <w:b/>
          <w:bCs/>
        </w:rPr>
        <w:t>d’s content to that of ICH GCP E6</w:t>
      </w:r>
      <w:r w:rsidR="002D2469">
        <w:rPr>
          <w:b/>
          <w:bCs/>
        </w:rPr>
        <w:t>, references to the publicly available GCP recommendations were instead included throughout this document as they should convey similar expectations to that of ISO 14155.</w:t>
      </w:r>
      <w:r w:rsidR="004A127E">
        <w:rPr>
          <w:b/>
          <w:bCs/>
        </w:rPr>
        <w:t xml:space="preserve"> </w:t>
      </w:r>
    </w:p>
    <w:p w14:paraId="180ED6AE" w14:textId="57AB4A0F" w:rsidR="00CF05A9" w:rsidRDefault="00EC260B" w:rsidP="00F065BB">
      <w:pPr>
        <w:spacing w:after="120" w:line="240" w:lineRule="auto"/>
        <w:rPr>
          <w:b/>
          <w:bCs/>
          <w:sz w:val="32"/>
          <w:szCs w:val="32"/>
        </w:rPr>
      </w:pPr>
      <w:r w:rsidRPr="00F45324">
        <w:rPr>
          <w:i/>
          <w:iCs/>
          <w:sz w:val="20"/>
          <w:szCs w:val="20"/>
        </w:rPr>
        <w:t xml:space="preserve">This form is intended to facilitate this discussion and to serve as a resource; this form does not need to be completed and returned to CTSI </w:t>
      </w:r>
      <w:r>
        <w:rPr>
          <w:i/>
          <w:iCs/>
          <w:sz w:val="20"/>
          <w:szCs w:val="20"/>
        </w:rPr>
        <w:t xml:space="preserve">or QIO </w:t>
      </w:r>
      <w:r w:rsidRPr="00F45324">
        <w:rPr>
          <w:i/>
          <w:iCs/>
          <w:sz w:val="20"/>
          <w:szCs w:val="20"/>
        </w:rPr>
        <w:t>for review.</w:t>
      </w:r>
      <w:r w:rsidR="00B659E9">
        <w:rPr>
          <w:i/>
          <w:iCs/>
          <w:sz w:val="20"/>
          <w:szCs w:val="20"/>
        </w:rPr>
        <w:t xml:space="preserve"> </w:t>
      </w:r>
      <w:r w:rsidRPr="00F45324">
        <w:rPr>
          <w:i/>
          <w:iCs/>
          <w:sz w:val="20"/>
          <w:szCs w:val="20"/>
        </w:rPr>
        <w:t xml:space="preserve">The “Comment” column </w:t>
      </w:r>
      <w:r>
        <w:rPr>
          <w:i/>
          <w:iCs/>
          <w:sz w:val="20"/>
          <w:szCs w:val="20"/>
        </w:rPr>
        <w:t>is</w:t>
      </w:r>
      <w:r w:rsidRPr="00F45324">
        <w:rPr>
          <w:i/>
          <w:iCs/>
          <w:sz w:val="20"/>
          <w:szCs w:val="20"/>
        </w:rPr>
        <w:t xml:space="preserve"> provided for your use/notes only.</w:t>
      </w:r>
      <w:r w:rsidR="00CC3751">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able showing details of Responsibility along with Comments."/>
      </w:tblPr>
      <w:tblGrid>
        <w:gridCol w:w="10998"/>
        <w:gridCol w:w="3906"/>
      </w:tblGrid>
      <w:tr w:rsidR="00CF05A9" w:rsidRPr="002F1AD5" w14:paraId="374894ED" w14:textId="77777777" w:rsidTr="00BD2991">
        <w:trPr>
          <w:trHeight w:val="248"/>
        </w:trPr>
        <w:tc>
          <w:tcPr>
            <w:tcW w:w="10998" w:type="dxa"/>
            <w:shd w:val="clear" w:color="auto" w:fill="D9D9D9"/>
          </w:tcPr>
          <w:p w14:paraId="0C4E8D02" w14:textId="77777777" w:rsidR="00CF05A9" w:rsidRPr="002F1AD5" w:rsidRDefault="00CF05A9" w:rsidP="00BD2991">
            <w:pPr>
              <w:spacing w:after="0" w:line="240" w:lineRule="auto"/>
              <w:ind w:left="90" w:right="75"/>
              <w:jc w:val="center"/>
              <w:rPr>
                <w:b/>
                <w:sz w:val="24"/>
                <w:szCs w:val="24"/>
              </w:rPr>
            </w:pPr>
            <w:r w:rsidRPr="002F1AD5">
              <w:rPr>
                <w:b/>
                <w:sz w:val="24"/>
                <w:szCs w:val="24"/>
              </w:rPr>
              <w:t>Responsibility</w:t>
            </w:r>
          </w:p>
        </w:tc>
        <w:tc>
          <w:tcPr>
            <w:tcW w:w="3906" w:type="dxa"/>
            <w:shd w:val="clear" w:color="auto" w:fill="D9D9D9"/>
          </w:tcPr>
          <w:p w14:paraId="3C843741" w14:textId="77777777" w:rsidR="00CF05A9" w:rsidRPr="002F1AD5" w:rsidRDefault="00CF05A9" w:rsidP="00BD2991">
            <w:pPr>
              <w:spacing w:after="0" w:line="240" w:lineRule="auto"/>
              <w:ind w:left="-14"/>
              <w:jc w:val="center"/>
              <w:rPr>
                <w:b/>
                <w:sz w:val="24"/>
                <w:szCs w:val="24"/>
              </w:rPr>
            </w:pPr>
            <w:r>
              <w:rPr>
                <w:b/>
                <w:sz w:val="24"/>
                <w:szCs w:val="24"/>
              </w:rPr>
              <w:t>Comments</w:t>
            </w:r>
          </w:p>
        </w:tc>
      </w:tr>
      <w:tr w:rsidR="005D0040" w:rsidRPr="002F1AD5" w14:paraId="0FED3163" w14:textId="77777777" w:rsidTr="00F065BB">
        <w:trPr>
          <w:trHeight w:val="3761"/>
        </w:trPr>
        <w:tc>
          <w:tcPr>
            <w:tcW w:w="10998" w:type="dxa"/>
          </w:tcPr>
          <w:p w14:paraId="7686198B" w14:textId="77777777" w:rsidR="005D0040" w:rsidRPr="00CE0A0E" w:rsidRDefault="005D0040" w:rsidP="005D0040">
            <w:pPr>
              <w:spacing w:after="120" w:line="240" w:lineRule="auto"/>
              <w:rPr>
                <w:b/>
                <w:bCs/>
              </w:rPr>
            </w:pPr>
            <w:r>
              <w:rPr>
                <w:b/>
                <w:bCs/>
              </w:rPr>
              <w:t>Ensure</w:t>
            </w:r>
            <w:r w:rsidRPr="00CE0A0E">
              <w:rPr>
                <w:b/>
                <w:bCs/>
              </w:rPr>
              <w:t xml:space="preserve"> </w:t>
            </w:r>
            <w:r>
              <w:rPr>
                <w:b/>
                <w:bCs/>
              </w:rPr>
              <w:t xml:space="preserve">an </w:t>
            </w:r>
            <w:r w:rsidRPr="00CE0A0E">
              <w:rPr>
                <w:b/>
                <w:bCs/>
              </w:rPr>
              <w:t>appropriate IDE application submission</w:t>
            </w:r>
            <w:r w:rsidR="00C12B05">
              <w:rPr>
                <w:b/>
                <w:bCs/>
              </w:rPr>
              <w:t>/single patient request</w:t>
            </w:r>
            <w:r w:rsidRPr="00CE0A0E">
              <w:rPr>
                <w:b/>
                <w:bCs/>
              </w:rPr>
              <w:t xml:space="preserve"> to FDA</w:t>
            </w:r>
          </w:p>
          <w:p w14:paraId="118ED459" w14:textId="77777777" w:rsidR="00FA4649" w:rsidRPr="009475D2" w:rsidRDefault="00FA4649" w:rsidP="00FA4649">
            <w:pPr>
              <w:spacing w:after="0" w:line="240" w:lineRule="auto"/>
              <w:rPr>
                <w:bCs/>
                <w:color w:val="D90000"/>
              </w:rPr>
            </w:pPr>
            <w:r w:rsidRPr="009475D2">
              <w:rPr>
                <w:b/>
                <w:color w:val="D90000"/>
              </w:rPr>
              <w:t>21 CFR Part 812.35(a)</w:t>
            </w:r>
          </w:p>
          <w:p w14:paraId="2F750EB5" w14:textId="77777777" w:rsidR="005D0040" w:rsidRPr="00CF05A9" w:rsidRDefault="005D0040" w:rsidP="005D0040">
            <w:pPr>
              <w:spacing w:after="120" w:line="240" w:lineRule="auto"/>
              <w:rPr>
                <w:bCs/>
              </w:rPr>
            </w:pPr>
            <w:r w:rsidRPr="00CF05A9">
              <w:rPr>
                <w:bCs/>
              </w:rPr>
              <w:t xml:space="preserve">FDA </w:t>
            </w:r>
            <w:r>
              <w:rPr>
                <w:bCs/>
              </w:rPr>
              <w:t xml:space="preserve">Guidance: </w:t>
            </w:r>
            <w:hyperlink r:id="rId12" w:anchor="compassionate" w:history="1">
              <w:r w:rsidRPr="00F065BB">
                <w:rPr>
                  <w:rStyle w:val="Hyperlink"/>
                  <w:bCs/>
                </w:rPr>
                <w:t>Expanded Access for Medical Device – Compassionate Use</w:t>
              </w:r>
            </w:hyperlink>
          </w:p>
          <w:p w14:paraId="38C20E52" w14:textId="77777777" w:rsidR="002A4344" w:rsidRPr="008F73F0" w:rsidRDefault="002A4344" w:rsidP="008E5D78">
            <w:pPr>
              <w:pStyle w:val="ListParagraph"/>
              <w:numPr>
                <w:ilvl w:val="0"/>
                <w:numId w:val="9"/>
              </w:numPr>
              <w:spacing w:after="0" w:line="240" w:lineRule="auto"/>
              <w:ind w:left="360" w:right="75"/>
              <w:rPr>
                <w:bCs/>
              </w:rPr>
            </w:pPr>
            <w:r w:rsidRPr="008F73F0">
              <w:rPr>
                <w:bCs/>
              </w:rPr>
              <w:t xml:space="preserve">Does your application include all </w:t>
            </w:r>
            <w:r w:rsidRPr="00CA7134">
              <w:t xml:space="preserve">the necessary </w:t>
            </w:r>
            <w:r w:rsidR="00FA4649">
              <w:t>components</w:t>
            </w:r>
            <w:r>
              <w:t>?</w:t>
            </w:r>
          </w:p>
          <w:p w14:paraId="07AC2E18" w14:textId="77777777" w:rsidR="002A4344" w:rsidRPr="008F73F0" w:rsidRDefault="002A4344" w:rsidP="008E5D78">
            <w:pPr>
              <w:pStyle w:val="ListParagraph"/>
              <w:numPr>
                <w:ilvl w:val="1"/>
                <w:numId w:val="2"/>
              </w:numPr>
              <w:spacing w:after="0" w:line="240" w:lineRule="auto"/>
              <w:ind w:left="720" w:right="75"/>
              <w:rPr>
                <w:bCs/>
              </w:rPr>
            </w:pPr>
            <w:r>
              <w:t>A description of the patient’s condition and circumstances necessitating treatment</w:t>
            </w:r>
            <w:r w:rsidR="00F065BB">
              <w:t>.</w:t>
            </w:r>
          </w:p>
          <w:p w14:paraId="7370FB13" w14:textId="77777777" w:rsidR="002A4344" w:rsidRPr="008F73F0" w:rsidRDefault="002A4344" w:rsidP="008E5D78">
            <w:pPr>
              <w:pStyle w:val="ListParagraph"/>
              <w:numPr>
                <w:ilvl w:val="1"/>
                <w:numId w:val="2"/>
              </w:numPr>
              <w:spacing w:after="0" w:line="240" w:lineRule="auto"/>
              <w:ind w:left="720" w:right="75"/>
              <w:rPr>
                <w:bCs/>
              </w:rPr>
            </w:pPr>
            <w:r>
              <w:t xml:space="preserve">A discussion of why alternative therapies </w:t>
            </w:r>
            <w:proofErr w:type="gramStart"/>
            <w:r>
              <w:t>are</w:t>
            </w:r>
            <w:proofErr w:type="gramEnd"/>
            <w:r>
              <w:t xml:space="preserve"> unsatisfactory and </w:t>
            </w:r>
            <w:r w:rsidR="00D254C3">
              <w:t>why the probable risk of the investigational device use is no greater than the probable risk from the disease or condition</w:t>
            </w:r>
            <w:r w:rsidR="00F065BB">
              <w:t>.</w:t>
            </w:r>
          </w:p>
          <w:p w14:paraId="505CF61F" w14:textId="77777777" w:rsidR="00D254C3" w:rsidRPr="008F73F0" w:rsidRDefault="00D254C3" w:rsidP="008E5D78">
            <w:pPr>
              <w:pStyle w:val="ListParagraph"/>
              <w:numPr>
                <w:ilvl w:val="1"/>
                <w:numId w:val="2"/>
              </w:numPr>
              <w:spacing w:after="0" w:line="240" w:lineRule="auto"/>
              <w:ind w:left="720" w:right="75"/>
              <w:rPr>
                <w:bCs/>
              </w:rPr>
            </w:pPr>
            <w:r>
              <w:t>The patient protection measures that will be followed, including a draft informed consent form, confirmation that IRB approval will be obtained prior to the device’s use, an independent assessment from an uninvolved physician, and authorization for use of the device from the device manufacturer.</w:t>
            </w:r>
          </w:p>
          <w:p w14:paraId="195AE499" w14:textId="77777777" w:rsidR="00F065BB" w:rsidRPr="008F73F0" w:rsidRDefault="00D254C3" w:rsidP="008E5D78">
            <w:pPr>
              <w:pStyle w:val="ListParagraph"/>
              <w:numPr>
                <w:ilvl w:val="1"/>
                <w:numId w:val="2"/>
              </w:numPr>
              <w:spacing w:after="0" w:line="240" w:lineRule="auto"/>
              <w:ind w:left="720" w:right="75"/>
              <w:rPr>
                <w:bCs/>
              </w:rPr>
            </w:pPr>
            <w:r w:rsidRPr="008F73F0">
              <w:rPr>
                <w:bCs/>
              </w:rPr>
              <w:t>The clinical treatment protocol</w:t>
            </w:r>
            <w:r w:rsidR="00F065BB" w:rsidRPr="008F73F0">
              <w:rPr>
                <w:bCs/>
              </w:rPr>
              <w:t xml:space="preserve"> to be followed, and if provided by the manufacturer, any deviations that may be needed to treat the local patient.</w:t>
            </w:r>
          </w:p>
          <w:p w14:paraId="4F00732F" w14:textId="77777777" w:rsidR="005D0040" w:rsidRPr="008F73F0" w:rsidRDefault="005D0040" w:rsidP="008E5D78">
            <w:pPr>
              <w:pStyle w:val="ListParagraph"/>
              <w:numPr>
                <w:ilvl w:val="1"/>
                <w:numId w:val="2"/>
              </w:numPr>
              <w:spacing w:after="0" w:line="240" w:lineRule="auto"/>
              <w:ind w:left="720" w:right="75"/>
              <w:rPr>
                <w:bCs/>
              </w:rPr>
            </w:pPr>
            <w:r w:rsidRPr="008F73F0">
              <w:rPr>
                <w:b/>
              </w:rPr>
              <w:t>For small group access use</w:t>
            </w:r>
            <w:r w:rsidRPr="008F73F0">
              <w:rPr>
                <w:bCs/>
              </w:rPr>
              <w:t>, was the number of patients to be treated included?</w:t>
            </w:r>
          </w:p>
        </w:tc>
        <w:tc>
          <w:tcPr>
            <w:tcW w:w="3906" w:type="dxa"/>
          </w:tcPr>
          <w:p w14:paraId="5F4FB55A" w14:textId="77777777" w:rsidR="005D0040" w:rsidRDefault="005D0040" w:rsidP="00BD2991">
            <w:pPr>
              <w:spacing w:after="0" w:line="240" w:lineRule="auto"/>
              <w:ind w:left="-14"/>
              <w:jc w:val="center"/>
              <w:rPr>
                <w:b/>
                <w:sz w:val="24"/>
                <w:szCs w:val="24"/>
              </w:rPr>
            </w:pPr>
          </w:p>
        </w:tc>
      </w:tr>
      <w:tr w:rsidR="00CF05A9" w:rsidRPr="00491745" w14:paraId="3046841E" w14:textId="77777777" w:rsidTr="005D0040">
        <w:trPr>
          <w:trHeight w:val="899"/>
        </w:trPr>
        <w:tc>
          <w:tcPr>
            <w:tcW w:w="10998" w:type="dxa"/>
          </w:tcPr>
          <w:p w14:paraId="198C67D4" w14:textId="77777777" w:rsidR="00CF05A9" w:rsidRPr="008153DE" w:rsidRDefault="00CF05A9" w:rsidP="00CF05A9">
            <w:pPr>
              <w:spacing w:after="120" w:line="240" w:lineRule="auto"/>
              <w:rPr>
                <w:rStyle w:val="Strong"/>
                <w:b w:val="0"/>
              </w:rPr>
            </w:pPr>
            <w:r>
              <w:rPr>
                <w:b/>
                <w:bCs/>
              </w:rPr>
              <w:lastRenderedPageBreak/>
              <w:t>Ensure that the</w:t>
            </w:r>
            <w:r w:rsidRPr="00CE0A0E">
              <w:rPr>
                <w:b/>
                <w:bCs/>
              </w:rPr>
              <w:t xml:space="preserve"> investigation </w:t>
            </w:r>
            <w:r>
              <w:rPr>
                <w:b/>
                <w:bCs/>
              </w:rPr>
              <w:t>is not initiated until 30 days after the FDA’s receipt of the IDE application (absent earlier notification by FDA that the IDE is approved, or that the investigation may not begin) or prior to IRB approval</w:t>
            </w:r>
          </w:p>
          <w:p w14:paraId="3A77E0B8" w14:textId="77777777" w:rsidR="003335B5" w:rsidRPr="009475D2" w:rsidRDefault="003335B5" w:rsidP="003335B5">
            <w:pPr>
              <w:spacing w:after="0" w:line="240" w:lineRule="auto"/>
              <w:rPr>
                <w:bCs/>
                <w:color w:val="D90000"/>
              </w:rPr>
            </w:pPr>
            <w:r w:rsidRPr="009475D2">
              <w:rPr>
                <w:b/>
                <w:color w:val="D90000"/>
              </w:rPr>
              <w:t>21 CFR Part 812.30</w:t>
            </w:r>
          </w:p>
          <w:p w14:paraId="23F4CF3B" w14:textId="77777777" w:rsidR="00CF05A9" w:rsidRPr="00CF05A9" w:rsidRDefault="00CF05A9" w:rsidP="00CF05A9">
            <w:pPr>
              <w:spacing w:after="120" w:line="240" w:lineRule="auto"/>
              <w:rPr>
                <w:bCs/>
              </w:rPr>
            </w:pPr>
            <w:r w:rsidRPr="00CF05A9">
              <w:rPr>
                <w:bCs/>
              </w:rPr>
              <w:t xml:space="preserve">FDA </w:t>
            </w:r>
            <w:r>
              <w:rPr>
                <w:bCs/>
              </w:rPr>
              <w:t xml:space="preserve">Guidance: </w:t>
            </w:r>
            <w:hyperlink r:id="rId13" w:anchor="compassionate" w:history="1">
              <w:r w:rsidRPr="00CF05A9">
                <w:rPr>
                  <w:rStyle w:val="Hyperlink"/>
                  <w:bCs/>
                </w:rPr>
                <w:t>Expanded Access for Medical Device – Compassionate Use</w:t>
              </w:r>
            </w:hyperlink>
          </w:p>
          <w:p w14:paraId="01BEE2DA" w14:textId="77777777" w:rsidR="00CF05A9" w:rsidRPr="008F73F0" w:rsidRDefault="00CF05A9" w:rsidP="008E5D78">
            <w:pPr>
              <w:pStyle w:val="ListParagraph"/>
              <w:numPr>
                <w:ilvl w:val="0"/>
                <w:numId w:val="8"/>
              </w:numPr>
              <w:spacing w:after="0" w:line="240" w:lineRule="auto"/>
              <w:ind w:left="360"/>
              <w:rPr>
                <w:b/>
                <w:color w:val="FF0000"/>
              </w:rPr>
            </w:pPr>
            <w:r>
              <w:t>Will you or another study designee be contacting the FDA for an acknowledgement letter or “study may proceed” notification, if not yet received by the 30-day timeline?</w:t>
            </w:r>
          </w:p>
          <w:p w14:paraId="13118590" w14:textId="77777777" w:rsidR="00CF05A9" w:rsidRPr="00491745" w:rsidRDefault="00CF05A9" w:rsidP="008E5D78">
            <w:pPr>
              <w:pStyle w:val="ListParagraph"/>
              <w:numPr>
                <w:ilvl w:val="0"/>
                <w:numId w:val="8"/>
              </w:numPr>
              <w:shd w:val="clear" w:color="auto" w:fill="FFFFFF"/>
              <w:spacing w:after="120" w:line="240" w:lineRule="auto"/>
              <w:ind w:left="360" w:right="144"/>
              <w:textAlignment w:val="baseline"/>
            </w:pPr>
            <w:r>
              <w:t xml:space="preserve">How will you communicate </w:t>
            </w:r>
            <w:proofErr w:type="gramStart"/>
            <w:r>
              <w:t>to</w:t>
            </w:r>
            <w:proofErr w:type="gramEnd"/>
            <w:r>
              <w:t xml:space="preserve"> study personnel and all external participating sites, if any, when to initiate study procedures?</w:t>
            </w:r>
          </w:p>
        </w:tc>
        <w:tc>
          <w:tcPr>
            <w:tcW w:w="3906" w:type="dxa"/>
          </w:tcPr>
          <w:p w14:paraId="223D99EB" w14:textId="276F9CF8" w:rsidR="00CF05A9" w:rsidRPr="00491745" w:rsidRDefault="00CF05A9" w:rsidP="00BD2991">
            <w:pPr>
              <w:spacing w:after="0" w:line="240" w:lineRule="auto"/>
              <w:ind w:left="450"/>
            </w:pPr>
          </w:p>
        </w:tc>
      </w:tr>
      <w:tr w:rsidR="00E57CD9" w:rsidRPr="00491745" w14:paraId="35D8C653" w14:textId="77777777" w:rsidTr="003D5B9E">
        <w:trPr>
          <w:trHeight w:val="6371"/>
        </w:trPr>
        <w:tc>
          <w:tcPr>
            <w:tcW w:w="10998" w:type="dxa"/>
          </w:tcPr>
          <w:p w14:paraId="1C475223" w14:textId="2E9CD53A" w:rsidR="00E57CD9" w:rsidRDefault="002737B5" w:rsidP="00A0679F">
            <w:pPr>
              <w:spacing w:after="120" w:line="240" w:lineRule="auto"/>
              <w:rPr>
                <w:i/>
                <w:iCs/>
              </w:rPr>
            </w:pPr>
            <w:r>
              <w:rPr>
                <w:b/>
                <w:bCs/>
              </w:rPr>
              <w:t>D</w:t>
            </w:r>
            <w:r w:rsidR="00AC57C6">
              <w:rPr>
                <w:b/>
                <w:bCs/>
              </w:rPr>
              <w:t>evelop and implement a schedule for monitoring the patient.</w:t>
            </w:r>
            <w:r w:rsidR="00B659E9">
              <w:rPr>
                <w:b/>
                <w:bCs/>
              </w:rPr>
              <w:t xml:space="preserve"> </w:t>
            </w:r>
            <w:r w:rsidR="00E57CD9" w:rsidRPr="00AC57C6">
              <w:rPr>
                <w:i/>
                <w:iCs/>
              </w:rPr>
              <w:t>After FDA approval, the attending physician should devise an appropriate schedule for monitoring the patient, taking into consideration the investigational nature of the device and the specific needs of the patient. The patient should be monitored to detect any possible problems arising from the use of the device.</w:t>
            </w:r>
          </w:p>
          <w:p w14:paraId="7726B704" w14:textId="77777777" w:rsidR="003335B5" w:rsidRPr="009475D2" w:rsidRDefault="003335B5" w:rsidP="003335B5">
            <w:pPr>
              <w:pStyle w:val="ListParagraph"/>
              <w:spacing w:after="0" w:line="240" w:lineRule="auto"/>
              <w:ind w:left="0"/>
              <w:rPr>
                <w:bCs/>
                <w:color w:val="D90000"/>
              </w:rPr>
            </w:pPr>
            <w:r w:rsidRPr="009475D2">
              <w:rPr>
                <w:b/>
                <w:color w:val="D90000"/>
              </w:rPr>
              <w:t>ICH GCP E6 (R3) 3.4</w:t>
            </w:r>
          </w:p>
          <w:p w14:paraId="23481E66" w14:textId="77777777" w:rsidR="00AC57C6" w:rsidRPr="00CF05A9" w:rsidRDefault="00AC57C6" w:rsidP="00AC57C6">
            <w:pPr>
              <w:spacing w:after="120" w:line="240" w:lineRule="auto"/>
              <w:rPr>
                <w:bCs/>
              </w:rPr>
            </w:pPr>
            <w:r w:rsidRPr="00CF05A9">
              <w:rPr>
                <w:bCs/>
              </w:rPr>
              <w:t xml:space="preserve">FDA </w:t>
            </w:r>
            <w:r>
              <w:rPr>
                <w:bCs/>
              </w:rPr>
              <w:t xml:space="preserve">Guidance: </w:t>
            </w:r>
            <w:hyperlink r:id="rId14" w:anchor="compassionate" w:history="1">
              <w:r w:rsidRPr="00CF05A9">
                <w:rPr>
                  <w:rStyle w:val="Hyperlink"/>
                  <w:bCs/>
                </w:rPr>
                <w:t>Expanded Access for Medical Device – Compassionate Use</w:t>
              </w:r>
            </w:hyperlink>
          </w:p>
          <w:p w14:paraId="20C2F1F8" w14:textId="77777777" w:rsidR="00AC57C6" w:rsidRPr="008F73F0" w:rsidRDefault="00A01BC1" w:rsidP="008E5D78">
            <w:pPr>
              <w:pStyle w:val="ListParagraph"/>
              <w:numPr>
                <w:ilvl w:val="0"/>
                <w:numId w:val="3"/>
              </w:numPr>
              <w:spacing w:after="0" w:line="240" w:lineRule="auto"/>
              <w:ind w:left="360"/>
              <w:rPr>
                <w:b/>
                <w:bCs/>
              </w:rPr>
            </w:pPr>
            <w:r>
              <w:t>Has the schedule for monitoring the patient been developed?</w:t>
            </w:r>
          </w:p>
          <w:p w14:paraId="71C9726F" w14:textId="77777777" w:rsidR="0048352E" w:rsidRPr="008F73F0" w:rsidRDefault="0048352E" w:rsidP="008E5D78">
            <w:pPr>
              <w:pStyle w:val="ListParagraph"/>
              <w:numPr>
                <w:ilvl w:val="1"/>
                <w:numId w:val="4"/>
              </w:numPr>
              <w:spacing w:after="0" w:line="240" w:lineRule="auto"/>
              <w:ind w:left="720"/>
              <w:rPr>
                <w:b/>
                <w:bCs/>
              </w:rPr>
            </w:pPr>
            <w:r>
              <w:t>If not provided as part of the initial IRB application, was an amendment submitted to provide this information to the IRB</w:t>
            </w:r>
            <w:r w:rsidR="00A0679F">
              <w:t xml:space="preserve"> upon development</w:t>
            </w:r>
            <w:r>
              <w:t>?</w:t>
            </w:r>
          </w:p>
          <w:p w14:paraId="58380721" w14:textId="403FA4E7" w:rsidR="003D5B9E" w:rsidRPr="008F73F0" w:rsidRDefault="003D5B9E" w:rsidP="008E5D78">
            <w:pPr>
              <w:pStyle w:val="ListParagraph"/>
              <w:numPr>
                <w:ilvl w:val="1"/>
                <w:numId w:val="4"/>
              </w:numPr>
              <w:spacing w:after="0" w:line="240" w:lineRule="auto"/>
              <w:ind w:left="720"/>
              <w:rPr>
                <w:b/>
                <w:bCs/>
              </w:rPr>
            </w:pPr>
            <w:r>
              <w:t>If changes to the treatment or monitoring plan are subsequently required, will IRB approval be obtained prior to implementing the change?</w:t>
            </w:r>
            <w:r w:rsidR="00B659E9">
              <w:t xml:space="preserve"> </w:t>
            </w:r>
            <w:r>
              <w:t>Or, if the changes are necessary to eliminate an apparent immediate hazard to the subject and IRB approval is not feasible in advance of implementation, will the IRB be notified of such implementation as a promptly reportable event as required?</w:t>
            </w:r>
            <w:r w:rsidR="00B659E9">
              <w:t xml:space="preserve"> </w:t>
            </w:r>
          </w:p>
          <w:p w14:paraId="78767219" w14:textId="77777777" w:rsidR="002737B5" w:rsidRPr="00C061A8" w:rsidRDefault="002737B5" w:rsidP="008E5D78">
            <w:pPr>
              <w:pStyle w:val="ListParagraph"/>
              <w:numPr>
                <w:ilvl w:val="0"/>
                <w:numId w:val="3"/>
              </w:numPr>
              <w:spacing w:after="0" w:line="240" w:lineRule="auto"/>
              <w:ind w:left="360"/>
              <w:rPr>
                <w:b/>
                <w:bCs/>
              </w:rPr>
            </w:pPr>
            <w:r>
              <w:t xml:space="preserve">If problems arise, </w:t>
            </w:r>
            <w:r w:rsidR="00A0679F">
              <w:t>were they reported to the IRB and FDA, if required?</w:t>
            </w:r>
          </w:p>
          <w:p w14:paraId="7304259C" w14:textId="028487DA" w:rsidR="00A0679F" w:rsidRDefault="00A0679F" w:rsidP="008E5D78">
            <w:pPr>
              <w:pStyle w:val="ListParagraph"/>
              <w:numPr>
                <w:ilvl w:val="1"/>
                <w:numId w:val="10"/>
              </w:numPr>
              <w:spacing w:after="0" w:line="240" w:lineRule="auto"/>
              <w:ind w:left="720"/>
            </w:pPr>
            <w:r w:rsidRPr="00A0679F">
              <w:t xml:space="preserve">IU IRB requires promptly reportable events to be reported </w:t>
            </w:r>
            <w:r w:rsidRPr="003A60B9">
              <w:rPr>
                <w:b/>
                <w:bCs/>
              </w:rPr>
              <w:t>within 5 business days</w:t>
            </w:r>
            <w:r w:rsidRPr="00A0679F">
              <w:t xml:space="preserve"> of the study team becoming aware of the event.</w:t>
            </w:r>
            <w:r w:rsidR="00B659E9">
              <w:t xml:space="preserve"> </w:t>
            </w:r>
            <w:hyperlink r:id="rId15" w:history="1">
              <w:r w:rsidRPr="00A0679F">
                <w:rPr>
                  <w:rStyle w:val="Hyperlink"/>
                </w:rPr>
                <w:t>Promptly reportable events</w:t>
              </w:r>
            </w:hyperlink>
            <w:r>
              <w:t xml:space="preserve"> include</w:t>
            </w:r>
            <w:r w:rsidR="00FA4649">
              <w:t xml:space="preserve"> (but are not limited to)</w:t>
            </w:r>
            <w:r>
              <w:t>:</w:t>
            </w:r>
          </w:p>
          <w:p w14:paraId="0123CDAF" w14:textId="77777777" w:rsidR="00A0679F" w:rsidRPr="00A0679F" w:rsidRDefault="00A0679F" w:rsidP="008E5D78">
            <w:pPr>
              <w:pStyle w:val="ListParagraph"/>
              <w:numPr>
                <w:ilvl w:val="2"/>
                <w:numId w:val="5"/>
              </w:numPr>
              <w:spacing w:after="0" w:line="240" w:lineRule="auto"/>
              <w:ind w:left="1267"/>
            </w:pPr>
            <w:r w:rsidRPr="008F73F0">
              <w:rPr>
                <w:b/>
                <w:bCs/>
              </w:rPr>
              <w:t>Any incidents or events</w:t>
            </w:r>
            <w:r>
              <w:t xml:space="preserve">, including but not limited to adverse events assessed by the PI, or appropriately trained and qualified designee as </w:t>
            </w:r>
            <w:r w:rsidRPr="008F73F0">
              <w:rPr>
                <w:b/>
                <w:bCs/>
              </w:rPr>
              <w:t>(1) unexpected</w:t>
            </w:r>
            <w:r>
              <w:t xml:space="preserve"> (in terms of nature, severity, or frequency) given the research procedures described in the study-related documents and the characteristics of the subject population, </w:t>
            </w:r>
            <w:r w:rsidRPr="008F73F0">
              <w:rPr>
                <w:b/>
                <w:bCs/>
              </w:rPr>
              <w:t>(2) related or possibly related to study participation,</w:t>
            </w:r>
            <w:r>
              <w:t xml:space="preserve"> </w:t>
            </w:r>
            <w:r w:rsidRPr="008F73F0">
              <w:rPr>
                <w:b/>
                <w:bCs/>
              </w:rPr>
              <w:t>AND (3) suggesting that the research places subjects or others at greater risk of harm that was previously known;</w:t>
            </w:r>
          </w:p>
          <w:p w14:paraId="5596575D" w14:textId="77777777" w:rsidR="00C061A8" w:rsidRPr="008F73F0" w:rsidRDefault="00C061A8" w:rsidP="008E5D78">
            <w:pPr>
              <w:pStyle w:val="ListParagraph"/>
              <w:numPr>
                <w:ilvl w:val="2"/>
                <w:numId w:val="5"/>
              </w:numPr>
              <w:spacing w:after="0" w:line="240" w:lineRule="auto"/>
              <w:ind w:left="1267"/>
              <w:rPr>
                <w:b/>
                <w:bCs/>
              </w:rPr>
            </w:pPr>
            <w:r w:rsidRPr="008F73F0">
              <w:rPr>
                <w:b/>
                <w:bCs/>
              </w:rPr>
              <w:t>Unanticipated adverse device effect (UADE)</w:t>
            </w:r>
            <w:r>
              <w:t xml:space="preserve"> 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any other unanticipated serious problem associated with a device that relates to the rights, safety, or welfare of subjects (as defined in 21 CFR 812.3)</w:t>
            </w:r>
            <w:r w:rsidR="00A0679F">
              <w:t>.</w:t>
            </w:r>
          </w:p>
          <w:p w14:paraId="03A26BBF" w14:textId="77777777" w:rsidR="00C061A8" w:rsidRPr="003A60B9" w:rsidRDefault="00C061A8" w:rsidP="008E5D78">
            <w:pPr>
              <w:pStyle w:val="ListParagraph"/>
              <w:numPr>
                <w:ilvl w:val="1"/>
                <w:numId w:val="10"/>
              </w:numPr>
              <w:spacing w:after="0" w:line="240" w:lineRule="auto"/>
              <w:ind w:left="720"/>
              <w:rPr>
                <w:b/>
                <w:bCs/>
              </w:rPr>
            </w:pPr>
            <w:r>
              <w:t xml:space="preserve"> </w:t>
            </w:r>
            <w:r w:rsidR="00A0679F">
              <w:t>FDA requires reporting of problems “as soon as possible.”</w:t>
            </w:r>
          </w:p>
        </w:tc>
        <w:tc>
          <w:tcPr>
            <w:tcW w:w="3906" w:type="dxa"/>
          </w:tcPr>
          <w:p w14:paraId="090C3EFB" w14:textId="77777777" w:rsidR="00E57CD9" w:rsidRDefault="00E57CD9" w:rsidP="00BD2991">
            <w:pPr>
              <w:spacing w:after="0" w:line="240" w:lineRule="auto"/>
              <w:ind w:left="450"/>
              <w:rPr>
                <w:spacing w:val="-1"/>
              </w:rPr>
            </w:pPr>
          </w:p>
        </w:tc>
      </w:tr>
      <w:tr w:rsidR="00D82E3C" w:rsidRPr="00491745" w14:paraId="192DACEF" w14:textId="77777777" w:rsidTr="003D5B9E">
        <w:trPr>
          <w:trHeight w:val="1889"/>
        </w:trPr>
        <w:tc>
          <w:tcPr>
            <w:tcW w:w="10998" w:type="dxa"/>
          </w:tcPr>
          <w:p w14:paraId="583D3F42" w14:textId="1581FAEA" w:rsidR="00D82E3C" w:rsidRPr="008A6D7E" w:rsidRDefault="00D82E3C" w:rsidP="00D82E3C">
            <w:pPr>
              <w:pStyle w:val="ListParagraph"/>
              <w:spacing w:after="120" w:line="240" w:lineRule="auto"/>
              <w:ind w:left="0"/>
              <w:rPr>
                <w:bCs/>
                <w:i/>
                <w:iCs/>
              </w:rPr>
            </w:pPr>
            <w:r>
              <w:rPr>
                <w:b/>
                <w:bCs/>
              </w:rPr>
              <w:lastRenderedPageBreak/>
              <w:t>S</w:t>
            </w:r>
            <w:r w:rsidRPr="00CE0A0E">
              <w:rPr>
                <w:b/>
                <w:bCs/>
              </w:rPr>
              <w:t>ubmit</w:t>
            </w:r>
            <w:r>
              <w:rPr>
                <w:b/>
                <w:bCs/>
              </w:rPr>
              <w:t xml:space="preserve"> follow-up report and withdraw the IDE.</w:t>
            </w:r>
            <w:r w:rsidR="00B659E9">
              <w:rPr>
                <w:b/>
                <w:i/>
                <w:iCs/>
              </w:rPr>
              <w:t xml:space="preserve"> </w:t>
            </w:r>
            <w:r>
              <w:rPr>
                <w:bCs/>
                <w:i/>
                <w:iCs/>
              </w:rPr>
              <w:t xml:space="preserve">A follow-up report should be submitted within 45 days of using the </w:t>
            </w:r>
            <w:proofErr w:type="gramStart"/>
            <w:r>
              <w:rPr>
                <w:bCs/>
                <w:i/>
                <w:iCs/>
              </w:rPr>
              <w:t>investigational</w:t>
            </w:r>
            <w:proofErr w:type="gramEnd"/>
            <w:r>
              <w:rPr>
                <w:bCs/>
                <w:i/>
                <w:iCs/>
              </w:rPr>
              <w:t xml:space="preserve"> device. The report should </w:t>
            </w:r>
            <w:r w:rsidR="0048352E">
              <w:rPr>
                <w:bCs/>
                <w:i/>
                <w:iCs/>
              </w:rPr>
              <w:t>describe the success or failure of the procedure, whether any problems occurred with the use of the device, a summary of the patient outcome, and the patient protection measures that were followed.</w:t>
            </w:r>
            <w:r w:rsidR="00B659E9">
              <w:rPr>
                <w:bCs/>
                <w:i/>
                <w:iCs/>
              </w:rPr>
              <w:t xml:space="preserve"> </w:t>
            </w:r>
            <w:r w:rsidR="005D0040">
              <w:rPr>
                <w:bCs/>
                <w:i/>
                <w:iCs/>
              </w:rPr>
              <w:t>If multiple patients were to be treated, the follow-up report should be submitted after the last patient has been treated.</w:t>
            </w:r>
            <w:r w:rsidR="00140096">
              <w:rPr>
                <w:bCs/>
                <w:i/>
                <w:iCs/>
              </w:rPr>
              <w:t xml:space="preserve"> </w:t>
            </w:r>
            <w:r w:rsidR="00140096" w:rsidRPr="0048352E">
              <w:rPr>
                <w:b/>
                <w:i/>
                <w:iCs/>
              </w:rPr>
              <w:t xml:space="preserve">Proof of </w:t>
            </w:r>
            <w:r w:rsidR="00F065BB" w:rsidRPr="0048352E">
              <w:rPr>
                <w:b/>
                <w:i/>
                <w:iCs/>
              </w:rPr>
              <w:t>IRB approval</w:t>
            </w:r>
            <w:r w:rsidR="00140096" w:rsidRPr="0048352E">
              <w:rPr>
                <w:b/>
                <w:i/>
                <w:iCs/>
              </w:rPr>
              <w:t xml:space="preserve"> should be included.</w:t>
            </w:r>
            <w:r w:rsidR="005D0040">
              <w:rPr>
                <w:bCs/>
                <w:i/>
                <w:iCs/>
              </w:rPr>
              <w:t xml:space="preserve"> The follow-up report should confirm that treatment with the device has been </w:t>
            </w:r>
            <w:r w:rsidR="003D5B9E">
              <w:rPr>
                <w:bCs/>
                <w:i/>
                <w:iCs/>
              </w:rPr>
              <w:t>concluded,</w:t>
            </w:r>
            <w:r w:rsidR="005D0040">
              <w:rPr>
                <w:bCs/>
                <w:i/>
                <w:iCs/>
              </w:rPr>
              <w:t xml:space="preserve"> and that the IDE application may be closed. </w:t>
            </w:r>
          </w:p>
          <w:p w14:paraId="40B0B067" w14:textId="77777777" w:rsidR="00D82E3C" w:rsidRPr="003E48A6" w:rsidRDefault="00D82E3C" w:rsidP="00D82E3C">
            <w:pPr>
              <w:spacing w:after="0" w:line="240" w:lineRule="auto"/>
              <w:rPr>
                <w:b/>
                <w:color w:val="D90000"/>
              </w:rPr>
            </w:pPr>
            <w:r w:rsidRPr="003E48A6">
              <w:rPr>
                <w:b/>
                <w:color w:val="D90000"/>
              </w:rPr>
              <w:t>21 CFR Part 812.150(b)(7)</w:t>
            </w:r>
          </w:p>
          <w:p w14:paraId="556C28B2" w14:textId="77777777" w:rsidR="00D82E3C" w:rsidRPr="003E48A6" w:rsidRDefault="00D82E3C" w:rsidP="00D82E3C">
            <w:pPr>
              <w:pStyle w:val="ListParagraph"/>
              <w:spacing w:after="0" w:line="240" w:lineRule="auto"/>
              <w:ind w:left="0"/>
              <w:rPr>
                <w:b/>
                <w:color w:val="D90000"/>
              </w:rPr>
            </w:pPr>
            <w:r w:rsidRPr="003E48A6">
              <w:rPr>
                <w:b/>
                <w:color w:val="D90000"/>
              </w:rPr>
              <w:t>ICH GCP E6 (R3) 3.17</w:t>
            </w:r>
          </w:p>
          <w:p w14:paraId="3162273B" w14:textId="77777777" w:rsidR="005D0040" w:rsidRPr="00CF05A9" w:rsidRDefault="005D0040" w:rsidP="005D0040">
            <w:pPr>
              <w:spacing w:after="120" w:line="240" w:lineRule="auto"/>
              <w:rPr>
                <w:bCs/>
              </w:rPr>
            </w:pPr>
            <w:r w:rsidRPr="00CF05A9">
              <w:rPr>
                <w:bCs/>
              </w:rPr>
              <w:t xml:space="preserve">FDA </w:t>
            </w:r>
            <w:r>
              <w:rPr>
                <w:bCs/>
              </w:rPr>
              <w:t xml:space="preserve">Guidance: </w:t>
            </w:r>
            <w:hyperlink r:id="rId16" w:anchor="compassionate" w:history="1">
              <w:r w:rsidRPr="00CF05A9">
                <w:rPr>
                  <w:rStyle w:val="Hyperlink"/>
                  <w:bCs/>
                </w:rPr>
                <w:t>Expanded Access for Medical Device – Compassionate Use</w:t>
              </w:r>
            </w:hyperlink>
          </w:p>
          <w:p w14:paraId="1D87D1DC" w14:textId="77777777" w:rsidR="00140096" w:rsidRDefault="00D82E3C" w:rsidP="008E5D78">
            <w:pPr>
              <w:pStyle w:val="ListParagraph"/>
              <w:numPr>
                <w:ilvl w:val="0"/>
                <w:numId w:val="6"/>
              </w:numPr>
              <w:spacing w:after="0" w:line="240" w:lineRule="auto"/>
              <w:ind w:left="360"/>
              <w:jc w:val="both"/>
            </w:pPr>
            <w:r>
              <w:t>Will you as the PI be submitting the progress report(s), notification of completion, and final report or will this be a task designated to other study personnel (e.g. Research Coordinator, etc.)</w:t>
            </w:r>
            <w:r w:rsidR="00140096">
              <w:t>?</w:t>
            </w:r>
          </w:p>
          <w:p w14:paraId="7E8AAD13" w14:textId="77777777" w:rsidR="00D82E3C" w:rsidRPr="008F73F0" w:rsidRDefault="00D82E3C" w:rsidP="008E5D78">
            <w:pPr>
              <w:pStyle w:val="ListParagraph"/>
              <w:numPr>
                <w:ilvl w:val="0"/>
                <w:numId w:val="6"/>
              </w:numPr>
              <w:spacing w:after="0" w:line="240" w:lineRule="auto"/>
              <w:ind w:left="360"/>
              <w:rPr>
                <w:b/>
                <w:bCs/>
              </w:rPr>
            </w:pPr>
            <w:r>
              <w:t>How will you document these submissions?</w:t>
            </w:r>
          </w:p>
        </w:tc>
        <w:tc>
          <w:tcPr>
            <w:tcW w:w="3906" w:type="dxa"/>
          </w:tcPr>
          <w:p w14:paraId="291EAF09" w14:textId="77777777" w:rsidR="00D82E3C" w:rsidRDefault="00D82E3C" w:rsidP="00BD2991">
            <w:pPr>
              <w:spacing w:after="0" w:line="240" w:lineRule="auto"/>
              <w:ind w:left="450"/>
              <w:rPr>
                <w:spacing w:val="-1"/>
              </w:rPr>
            </w:pPr>
          </w:p>
        </w:tc>
      </w:tr>
      <w:tr w:rsidR="005D0040" w:rsidRPr="00491745" w14:paraId="31140EDF" w14:textId="77777777" w:rsidTr="00BD2991">
        <w:trPr>
          <w:trHeight w:val="1529"/>
        </w:trPr>
        <w:tc>
          <w:tcPr>
            <w:tcW w:w="10998" w:type="dxa"/>
          </w:tcPr>
          <w:p w14:paraId="08501D4D" w14:textId="77777777" w:rsidR="005D0040" w:rsidRDefault="00E96640" w:rsidP="00D82E3C">
            <w:pPr>
              <w:pStyle w:val="ListParagraph"/>
              <w:spacing w:after="120" w:line="240" w:lineRule="auto"/>
              <w:ind w:left="0"/>
              <w:rPr>
                <w:b/>
                <w:bCs/>
              </w:rPr>
            </w:pPr>
            <w:r>
              <w:rPr>
                <w:b/>
                <w:bCs/>
              </w:rPr>
              <w:t>Maintain IDE records in accordance with IU HRPP Policies</w:t>
            </w:r>
          </w:p>
          <w:p w14:paraId="0480C999" w14:textId="77777777" w:rsidR="00E96640" w:rsidRDefault="00E96640" w:rsidP="00E96640">
            <w:pPr>
              <w:pStyle w:val="ListParagraph"/>
              <w:spacing w:after="0" w:line="240" w:lineRule="auto"/>
              <w:ind w:left="0"/>
            </w:pPr>
            <w:r>
              <w:t xml:space="preserve">IU HRPP Policy – </w:t>
            </w:r>
            <w:hyperlink r:id="rId17" w:history="1">
              <w:r w:rsidRPr="00E96640">
                <w:rPr>
                  <w:rStyle w:val="Hyperlink"/>
                </w:rPr>
                <w:t>Research Personnel Responsibilities</w:t>
              </w:r>
            </w:hyperlink>
            <w:r>
              <w:t xml:space="preserve"> </w:t>
            </w:r>
          </w:p>
          <w:p w14:paraId="5BC2B604" w14:textId="77777777" w:rsidR="00E96640" w:rsidRDefault="00E96640" w:rsidP="00E96640">
            <w:pPr>
              <w:pStyle w:val="ListParagraph"/>
              <w:spacing w:after="120" w:line="240" w:lineRule="auto"/>
              <w:ind w:left="0"/>
            </w:pPr>
            <w:r>
              <w:t xml:space="preserve">IU HRPP Policy – </w:t>
            </w:r>
            <w:hyperlink r:id="rId18" w:history="1">
              <w:r w:rsidRPr="00E96640">
                <w:rPr>
                  <w:rStyle w:val="Hyperlink"/>
                </w:rPr>
                <w:t>Research Data Management</w:t>
              </w:r>
            </w:hyperlink>
          </w:p>
          <w:p w14:paraId="57CDA393" w14:textId="77777777" w:rsidR="00C32DEB" w:rsidRDefault="00E96640" w:rsidP="008E5D78">
            <w:pPr>
              <w:pStyle w:val="ListParagraph"/>
              <w:numPr>
                <w:ilvl w:val="0"/>
                <w:numId w:val="7"/>
              </w:numPr>
              <w:spacing w:after="0" w:line="240" w:lineRule="auto"/>
              <w:ind w:left="360"/>
            </w:pPr>
            <w:r>
              <w:t>Are all study personnel aware of the need to</w:t>
            </w:r>
            <w:r w:rsidR="00C32DEB">
              <w:t>:</w:t>
            </w:r>
          </w:p>
          <w:p w14:paraId="07091C5E" w14:textId="77777777" w:rsidR="00C32DEB" w:rsidRDefault="00C32DEB" w:rsidP="008E5D78">
            <w:pPr>
              <w:pStyle w:val="ListParagraph"/>
              <w:numPr>
                <w:ilvl w:val="1"/>
                <w:numId w:val="1"/>
              </w:numPr>
              <w:spacing w:after="0" w:line="240" w:lineRule="auto"/>
              <w:ind w:left="720"/>
            </w:pPr>
            <w:r>
              <w:t>Comply with the treatment &amp; monitoring plan?</w:t>
            </w:r>
          </w:p>
          <w:p w14:paraId="0391ED16" w14:textId="77777777" w:rsidR="00C32DEB" w:rsidRDefault="00C32DEB" w:rsidP="008E5D78">
            <w:pPr>
              <w:pStyle w:val="ListParagraph"/>
              <w:numPr>
                <w:ilvl w:val="1"/>
                <w:numId w:val="1"/>
              </w:numPr>
              <w:spacing w:after="0" w:line="240" w:lineRule="auto"/>
              <w:ind w:left="720"/>
            </w:pPr>
            <w:r>
              <w:t>Identify and document adverse events for assessment by a qualified investigator (for severity and relatedness)?</w:t>
            </w:r>
          </w:p>
          <w:p w14:paraId="10411B8B" w14:textId="77777777" w:rsidR="00C32DEB" w:rsidRDefault="00C32DEB" w:rsidP="008E5D78">
            <w:pPr>
              <w:pStyle w:val="ListParagraph"/>
              <w:numPr>
                <w:ilvl w:val="1"/>
                <w:numId w:val="1"/>
              </w:numPr>
              <w:spacing w:after="0" w:line="240" w:lineRule="auto"/>
              <w:ind w:left="720"/>
            </w:pPr>
            <w:r>
              <w:t>Maintain records related to the device (regarding receipt, use, return and/or disposition)?</w:t>
            </w:r>
          </w:p>
          <w:p w14:paraId="2CCA5FF7" w14:textId="77777777" w:rsidR="00E96640" w:rsidRDefault="00E96640" w:rsidP="008E5D78">
            <w:pPr>
              <w:pStyle w:val="ListParagraph"/>
              <w:numPr>
                <w:ilvl w:val="0"/>
                <w:numId w:val="7"/>
              </w:numPr>
              <w:spacing w:after="0" w:line="240" w:lineRule="auto"/>
              <w:ind w:left="360"/>
            </w:pPr>
            <w:r>
              <w:t>How will you ensure that all records related to the IDE (</w:t>
            </w:r>
            <w:proofErr w:type="gramStart"/>
            <w:r>
              <w:t>including,</w:t>
            </w:r>
            <w:proofErr w:type="gramEnd"/>
            <w:r>
              <w:t xml:space="preserve"> signed consent form(s), adverse events, FDA correspondence) is maintained for at least 3 years following study closure with the IRB?</w:t>
            </w:r>
          </w:p>
          <w:p w14:paraId="6AD0509C" w14:textId="77777777" w:rsidR="00E96640" w:rsidRPr="00E96640" w:rsidRDefault="00E96640" w:rsidP="008E5D78">
            <w:pPr>
              <w:pStyle w:val="ListParagraph"/>
              <w:numPr>
                <w:ilvl w:val="0"/>
                <w:numId w:val="7"/>
              </w:numPr>
              <w:spacing w:after="0" w:line="240" w:lineRule="auto"/>
              <w:ind w:left="360"/>
            </w:pPr>
            <w:r>
              <w:t>How will you ensure compliance with 21 CFR 11 (regarding electronic signatures), if applicable?</w:t>
            </w:r>
          </w:p>
        </w:tc>
        <w:tc>
          <w:tcPr>
            <w:tcW w:w="3906" w:type="dxa"/>
          </w:tcPr>
          <w:p w14:paraId="54B14E42" w14:textId="77777777" w:rsidR="005D0040" w:rsidRDefault="005D0040" w:rsidP="00BD2991">
            <w:pPr>
              <w:spacing w:after="0" w:line="240" w:lineRule="auto"/>
              <w:ind w:left="450"/>
              <w:rPr>
                <w:spacing w:val="-1"/>
              </w:rPr>
            </w:pPr>
          </w:p>
        </w:tc>
      </w:tr>
    </w:tbl>
    <w:p w14:paraId="27195436" w14:textId="77777777" w:rsidR="00775FA8" w:rsidRPr="00B659E9" w:rsidRDefault="00775FA8" w:rsidP="00B659E9">
      <w:pPr>
        <w:spacing w:after="0"/>
        <w:rPr>
          <w:sz w:val="2"/>
          <w:szCs w:val="2"/>
        </w:rPr>
      </w:pPr>
    </w:p>
    <w:sectPr w:rsidR="00775FA8" w:rsidRPr="00B659E9" w:rsidSect="004D33B1">
      <w:footerReference w:type="default" r:id="rId19"/>
      <w:pgSz w:w="15840" w:h="12240" w:orient="landscape"/>
      <w:pgMar w:top="576" w:right="576" w:bottom="576" w:left="5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2AA9" w14:textId="77777777" w:rsidR="00C90E58" w:rsidRDefault="00C90E58" w:rsidP="005C094E">
      <w:pPr>
        <w:spacing w:after="0" w:line="240" w:lineRule="auto"/>
      </w:pPr>
      <w:r>
        <w:separator/>
      </w:r>
    </w:p>
  </w:endnote>
  <w:endnote w:type="continuationSeparator" w:id="0">
    <w:p w14:paraId="0FCA9378" w14:textId="77777777" w:rsidR="00C90E58" w:rsidRDefault="00C90E58" w:rsidP="005C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BC7B" w14:textId="7365EA8D" w:rsidR="004D33B1" w:rsidRDefault="00831BDB" w:rsidP="00B659E9">
    <w:pPr>
      <w:pStyle w:val="Footer"/>
      <w:tabs>
        <w:tab w:val="clear" w:pos="4680"/>
        <w:tab w:val="clear" w:pos="9360"/>
        <w:tab w:val="left" w:pos="13680"/>
        <w:tab w:val="left" w:pos="14670"/>
      </w:tabs>
      <w:spacing w:after="770" w:line="240" w:lineRule="auto"/>
      <w:jc w:val="both"/>
    </w:pPr>
    <w:r>
      <w:t xml:space="preserve">EAP </w:t>
    </w:r>
    <w:r w:rsidR="00395B21">
      <w:t>IDE-</w:t>
    </w:r>
    <w:r w:rsidR="00FB1FB5">
      <w:t>Version</w:t>
    </w:r>
    <w:r w:rsidR="00631AA0">
      <w:t xml:space="preserve"> </w:t>
    </w:r>
    <w:r w:rsidR="00A0679F">
      <w:t>9.22</w:t>
    </w:r>
    <w:r w:rsidR="008F68D0">
      <w:t>.2025</w:t>
    </w:r>
    <w:r w:rsidR="009271B6">
      <w:tab/>
    </w:r>
    <w:r w:rsidR="004D33B1">
      <w:t xml:space="preserve">Page </w:t>
    </w:r>
    <w:r w:rsidR="004D33B1">
      <w:fldChar w:fldCharType="begin"/>
    </w:r>
    <w:r w:rsidR="004D33B1">
      <w:instrText xml:space="preserve"> PAGE   \* MERGEFORMAT </w:instrText>
    </w:r>
    <w:r w:rsidR="004D33B1">
      <w:fldChar w:fldCharType="separate"/>
    </w:r>
    <w:r w:rsidR="004D33B1">
      <w:t>2</w:t>
    </w:r>
    <w:r w:rsidR="004D33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C0C7" w14:textId="77777777" w:rsidR="00C90E58" w:rsidRDefault="00C90E58" w:rsidP="005C094E">
      <w:pPr>
        <w:spacing w:after="0" w:line="240" w:lineRule="auto"/>
      </w:pPr>
      <w:r>
        <w:separator/>
      </w:r>
    </w:p>
  </w:footnote>
  <w:footnote w:type="continuationSeparator" w:id="0">
    <w:p w14:paraId="708A21C5" w14:textId="77777777" w:rsidR="00C90E58" w:rsidRDefault="00C90E58" w:rsidP="005C0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1D12"/>
    <w:multiLevelType w:val="hybridMultilevel"/>
    <w:tmpl w:val="5268DC7E"/>
    <w:lvl w:ilvl="0" w:tplc="5BE844AE">
      <w:start w:val="1"/>
      <w:numFmt w:val="bullet"/>
      <w:lvlText w:val=""/>
      <w:lvlJc w:val="left"/>
      <w:pPr>
        <w:ind w:left="720" w:hanging="360"/>
      </w:pPr>
      <w:rPr>
        <w:rFonts w:ascii="Symbol" w:hAnsi="Symbol" w:cs="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7A125C"/>
    <w:multiLevelType w:val="hybridMultilevel"/>
    <w:tmpl w:val="D0280814"/>
    <w:lvl w:ilvl="0" w:tplc="5BE844AE">
      <w:start w:val="1"/>
      <w:numFmt w:val="bullet"/>
      <w:lvlText w:val=""/>
      <w:lvlJc w:val="left"/>
      <w:pPr>
        <w:ind w:left="720" w:hanging="360"/>
      </w:pPr>
      <w:rPr>
        <w:rFonts w:ascii="Symbol" w:hAnsi="Symbol" w:cs="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601AEC"/>
    <w:multiLevelType w:val="hybridMultilevel"/>
    <w:tmpl w:val="E75C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D08E4"/>
    <w:multiLevelType w:val="hybridMultilevel"/>
    <w:tmpl w:val="94AAE2FC"/>
    <w:lvl w:ilvl="0" w:tplc="5BE844AE">
      <w:start w:val="1"/>
      <w:numFmt w:val="bullet"/>
      <w:lvlText w:val=""/>
      <w:lvlJc w:val="left"/>
      <w:pPr>
        <w:ind w:left="720" w:hanging="360"/>
      </w:pPr>
      <w:rPr>
        <w:rFonts w:ascii="Symbol" w:hAnsi="Symbol" w:cs="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2D0E20"/>
    <w:multiLevelType w:val="hybridMultilevel"/>
    <w:tmpl w:val="27042A7C"/>
    <w:lvl w:ilvl="0" w:tplc="ECEA747A">
      <w:start w:val="1"/>
      <w:numFmt w:val="bullet"/>
      <w:lvlText w:val=""/>
      <w:lvlJc w:val="left"/>
      <w:pPr>
        <w:ind w:left="810" w:hanging="360"/>
      </w:pPr>
      <w:rPr>
        <w:rFonts w:ascii="Symbol" w:hAnsi="Symbol" w:cs="Noto Sans Symbols" w:hint="default"/>
        <w:sz w:val="22"/>
      </w:rPr>
    </w:lvl>
    <w:lvl w:ilvl="1" w:tplc="04140003" w:tentative="1">
      <w:start w:val="1"/>
      <w:numFmt w:val="bullet"/>
      <w:lvlText w:val="o"/>
      <w:lvlJc w:val="left"/>
      <w:pPr>
        <w:ind w:left="1530" w:hanging="360"/>
      </w:pPr>
      <w:rPr>
        <w:rFonts w:ascii="Courier New" w:hAnsi="Courier New" w:cs="Courier New" w:hint="default"/>
      </w:rPr>
    </w:lvl>
    <w:lvl w:ilvl="2" w:tplc="04140005" w:tentative="1">
      <w:start w:val="1"/>
      <w:numFmt w:val="bullet"/>
      <w:lvlText w:val=""/>
      <w:lvlJc w:val="left"/>
      <w:pPr>
        <w:ind w:left="2250" w:hanging="360"/>
      </w:pPr>
      <w:rPr>
        <w:rFonts w:ascii="Wingdings" w:hAnsi="Wingdings" w:hint="default"/>
      </w:rPr>
    </w:lvl>
    <w:lvl w:ilvl="3" w:tplc="04140001" w:tentative="1">
      <w:start w:val="1"/>
      <w:numFmt w:val="bullet"/>
      <w:lvlText w:val=""/>
      <w:lvlJc w:val="left"/>
      <w:pPr>
        <w:ind w:left="2970" w:hanging="360"/>
      </w:pPr>
      <w:rPr>
        <w:rFonts w:ascii="Symbol" w:hAnsi="Symbol" w:hint="default"/>
      </w:rPr>
    </w:lvl>
    <w:lvl w:ilvl="4" w:tplc="04140003" w:tentative="1">
      <w:start w:val="1"/>
      <w:numFmt w:val="bullet"/>
      <w:lvlText w:val="o"/>
      <w:lvlJc w:val="left"/>
      <w:pPr>
        <w:ind w:left="3690" w:hanging="360"/>
      </w:pPr>
      <w:rPr>
        <w:rFonts w:ascii="Courier New" w:hAnsi="Courier New" w:cs="Courier New" w:hint="default"/>
      </w:rPr>
    </w:lvl>
    <w:lvl w:ilvl="5" w:tplc="04140005" w:tentative="1">
      <w:start w:val="1"/>
      <w:numFmt w:val="bullet"/>
      <w:lvlText w:val=""/>
      <w:lvlJc w:val="left"/>
      <w:pPr>
        <w:ind w:left="4410" w:hanging="360"/>
      </w:pPr>
      <w:rPr>
        <w:rFonts w:ascii="Wingdings" w:hAnsi="Wingdings" w:hint="default"/>
      </w:rPr>
    </w:lvl>
    <w:lvl w:ilvl="6" w:tplc="04140001" w:tentative="1">
      <w:start w:val="1"/>
      <w:numFmt w:val="bullet"/>
      <w:lvlText w:val=""/>
      <w:lvlJc w:val="left"/>
      <w:pPr>
        <w:ind w:left="5130" w:hanging="360"/>
      </w:pPr>
      <w:rPr>
        <w:rFonts w:ascii="Symbol" w:hAnsi="Symbol" w:hint="default"/>
      </w:rPr>
    </w:lvl>
    <w:lvl w:ilvl="7" w:tplc="04140003" w:tentative="1">
      <w:start w:val="1"/>
      <w:numFmt w:val="bullet"/>
      <w:lvlText w:val="o"/>
      <w:lvlJc w:val="left"/>
      <w:pPr>
        <w:ind w:left="5850" w:hanging="360"/>
      </w:pPr>
      <w:rPr>
        <w:rFonts w:ascii="Courier New" w:hAnsi="Courier New" w:cs="Courier New" w:hint="default"/>
      </w:rPr>
    </w:lvl>
    <w:lvl w:ilvl="8" w:tplc="04140005" w:tentative="1">
      <w:start w:val="1"/>
      <w:numFmt w:val="bullet"/>
      <w:lvlText w:val=""/>
      <w:lvlJc w:val="left"/>
      <w:pPr>
        <w:ind w:left="6570" w:hanging="360"/>
      </w:pPr>
      <w:rPr>
        <w:rFonts w:ascii="Wingdings" w:hAnsi="Wingdings" w:hint="default"/>
      </w:rPr>
    </w:lvl>
  </w:abstractNum>
  <w:abstractNum w:abstractNumId="5" w15:restartNumberingAfterBreak="0">
    <w:nsid w:val="5591688C"/>
    <w:multiLevelType w:val="hybridMultilevel"/>
    <w:tmpl w:val="3C58708C"/>
    <w:lvl w:ilvl="0" w:tplc="FFFFFFFF">
      <w:start w:val="1"/>
      <w:numFmt w:val="bullet"/>
      <w:lvlText w:val=""/>
      <w:lvlJc w:val="left"/>
      <w:pPr>
        <w:ind w:left="720" w:hanging="360"/>
      </w:pPr>
      <w:rPr>
        <w:rFonts w:ascii="Symbol" w:hAnsi="Symbol" w:hint="default"/>
      </w:rPr>
    </w:lvl>
    <w:lvl w:ilvl="1" w:tplc="5BE844AE">
      <w:start w:val="1"/>
      <w:numFmt w:val="bullet"/>
      <w:lvlText w:val=""/>
      <w:lvlJc w:val="left"/>
      <w:pPr>
        <w:ind w:left="720" w:hanging="360"/>
      </w:pPr>
      <w:rPr>
        <w:rFonts w:ascii="Symbol" w:hAnsi="Symbol" w:cs="Symbol" w:hint="default"/>
        <w:sz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71294C"/>
    <w:multiLevelType w:val="hybridMultilevel"/>
    <w:tmpl w:val="9DFA0B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165F4F"/>
    <w:multiLevelType w:val="hybridMultilevel"/>
    <w:tmpl w:val="A3FA1FF0"/>
    <w:lvl w:ilvl="0" w:tplc="FFFFFFFF">
      <w:start w:val="1"/>
      <w:numFmt w:val="bullet"/>
      <w:lvlText w:val=""/>
      <w:lvlJc w:val="left"/>
      <w:pPr>
        <w:ind w:left="810" w:hanging="360"/>
      </w:pPr>
      <w:rPr>
        <w:rFonts w:ascii="Symbol" w:hAnsi="Symbol" w:hint="default"/>
        <w:sz w:val="22"/>
        <w:szCs w:val="22"/>
      </w:rPr>
    </w:lvl>
    <w:lvl w:ilvl="1" w:tplc="D0FE6178">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256D58"/>
    <w:multiLevelType w:val="hybridMultilevel"/>
    <w:tmpl w:val="9DFA0B70"/>
    <w:lvl w:ilvl="0" w:tplc="FFFFFFFF">
      <w:start w:val="1"/>
      <w:numFmt w:val="bullet"/>
      <w:lvlText w:val=""/>
      <w:lvlJc w:val="left"/>
      <w:pPr>
        <w:ind w:left="720" w:hanging="360"/>
      </w:pPr>
      <w:rPr>
        <w:rFonts w:ascii="Symbol" w:hAnsi="Symbol" w:hint="default"/>
      </w:rPr>
    </w:lvl>
    <w:lvl w:ilvl="1" w:tplc="D0FE6178">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1E79D0"/>
    <w:multiLevelType w:val="hybridMultilevel"/>
    <w:tmpl w:val="705AA7D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2870502">
    <w:abstractNumId w:val="2"/>
  </w:num>
  <w:num w:numId="2" w16cid:durableId="484054192">
    <w:abstractNumId w:val="7"/>
  </w:num>
  <w:num w:numId="3" w16cid:durableId="2144538922">
    <w:abstractNumId w:val="5"/>
  </w:num>
  <w:num w:numId="4" w16cid:durableId="282152771">
    <w:abstractNumId w:val="8"/>
  </w:num>
  <w:num w:numId="5" w16cid:durableId="1950820348">
    <w:abstractNumId w:val="9"/>
  </w:num>
  <w:num w:numId="6" w16cid:durableId="1443917549">
    <w:abstractNumId w:val="3"/>
  </w:num>
  <w:num w:numId="7" w16cid:durableId="1638221158">
    <w:abstractNumId w:val="0"/>
  </w:num>
  <w:num w:numId="8" w16cid:durableId="2020739358">
    <w:abstractNumId w:val="1"/>
  </w:num>
  <w:num w:numId="9" w16cid:durableId="1815640841">
    <w:abstractNumId w:val="4"/>
  </w:num>
  <w:num w:numId="10" w16cid:durableId="188587340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5A"/>
    <w:rsid w:val="00003AFA"/>
    <w:rsid w:val="00007C9A"/>
    <w:rsid w:val="0001143F"/>
    <w:rsid w:val="00011679"/>
    <w:rsid w:val="0001318A"/>
    <w:rsid w:val="000145CE"/>
    <w:rsid w:val="00022479"/>
    <w:rsid w:val="00024BB2"/>
    <w:rsid w:val="0002646B"/>
    <w:rsid w:val="00032898"/>
    <w:rsid w:val="000354AE"/>
    <w:rsid w:val="0004380D"/>
    <w:rsid w:val="00045767"/>
    <w:rsid w:val="00056BE2"/>
    <w:rsid w:val="00060BDA"/>
    <w:rsid w:val="00061206"/>
    <w:rsid w:val="000744C1"/>
    <w:rsid w:val="00080CFC"/>
    <w:rsid w:val="0008551A"/>
    <w:rsid w:val="0008637C"/>
    <w:rsid w:val="00096996"/>
    <w:rsid w:val="000A32B6"/>
    <w:rsid w:val="000A581A"/>
    <w:rsid w:val="000A7701"/>
    <w:rsid w:val="000B0005"/>
    <w:rsid w:val="000B0206"/>
    <w:rsid w:val="000B1458"/>
    <w:rsid w:val="000C17BC"/>
    <w:rsid w:val="000C5379"/>
    <w:rsid w:val="000C70E1"/>
    <w:rsid w:val="000D2D5D"/>
    <w:rsid w:val="000D46D0"/>
    <w:rsid w:val="000D49AD"/>
    <w:rsid w:val="000E2C13"/>
    <w:rsid w:val="000E6E8D"/>
    <w:rsid w:val="000F21BB"/>
    <w:rsid w:val="0010252D"/>
    <w:rsid w:val="00105E04"/>
    <w:rsid w:val="00106FA8"/>
    <w:rsid w:val="001131C2"/>
    <w:rsid w:val="0013055B"/>
    <w:rsid w:val="00133821"/>
    <w:rsid w:val="00140096"/>
    <w:rsid w:val="00140FB7"/>
    <w:rsid w:val="001525D5"/>
    <w:rsid w:val="00163D18"/>
    <w:rsid w:val="001713A5"/>
    <w:rsid w:val="001C1A40"/>
    <w:rsid w:val="001D7B06"/>
    <w:rsid w:val="001E3E6A"/>
    <w:rsid w:val="001E5466"/>
    <w:rsid w:val="001F23FB"/>
    <w:rsid w:val="001F30DF"/>
    <w:rsid w:val="001F7AF4"/>
    <w:rsid w:val="00212479"/>
    <w:rsid w:val="00213B8C"/>
    <w:rsid w:val="00214080"/>
    <w:rsid w:val="002143FA"/>
    <w:rsid w:val="00220B6F"/>
    <w:rsid w:val="00222A4C"/>
    <w:rsid w:val="00222C76"/>
    <w:rsid w:val="00225918"/>
    <w:rsid w:val="00237CA2"/>
    <w:rsid w:val="0024693B"/>
    <w:rsid w:val="00256FDB"/>
    <w:rsid w:val="0025714C"/>
    <w:rsid w:val="002732E5"/>
    <w:rsid w:val="002737B5"/>
    <w:rsid w:val="00281E78"/>
    <w:rsid w:val="00284191"/>
    <w:rsid w:val="00287584"/>
    <w:rsid w:val="00290578"/>
    <w:rsid w:val="00291891"/>
    <w:rsid w:val="002931CB"/>
    <w:rsid w:val="002945A6"/>
    <w:rsid w:val="002A4344"/>
    <w:rsid w:val="002B284C"/>
    <w:rsid w:val="002C0004"/>
    <w:rsid w:val="002D10C4"/>
    <w:rsid w:val="002D2469"/>
    <w:rsid w:val="002D3CE1"/>
    <w:rsid w:val="002D6EC8"/>
    <w:rsid w:val="002E24DC"/>
    <w:rsid w:val="002F1AD5"/>
    <w:rsid w:val="0030429A"/>
    <w:rsid w:val="00304E4B"/>
    <w:rsid w:val="003072DF"/>
    <w:rsid w:val="00313792"/>
    <w:rsid w:val="003335B5"/>
    <w:rsid w:val="00334F8A"/>
    <w:rsid w:val="003449ED"/>
    <w:rsid w:val="00361702"/>
    <w:rsid w:val="00363FD0"/>
    <w:rsid w:val="003645AE"/>
    <w:rsid w:val="00370265"/>
    <w:rsid w:val="00373B6E"/>
    <w:rsid w:val="00376ACA"/>
    <w:rsid w:val="003774E0"/>
    <w:rsid w:val="003838A1"/>
    <w:rsid w:val="00386C0F"/>
    <w:rsid w:val="00392FE1"/>
    <w:rsid w:val="00395B21"/>
    <w:rsid w:val="00395F22"/>
    <w:rsid w:val="003A60B9"/>
    <w:rsid w:val="003B251F"/>
    <w:rsid w:val="003C06A2"/>
    <w:rsid w:val="003D3155"/>
    <w:rsid w:val="003D5192"/>
    <w:rsid w:val="003D5B9E"/>
    <w:rsid w:val="003E32E6"/>
    <w:rsid w:val="003E48A6"/>
    <w:rsid w:val="003F3556"/>
    <w:rsid w:val="004066E7"/>
    <w:rsid w:val="00411658"/>
    <w:rsid w:val="00411D42"/>
    <w:rsid w:val="00417CB9"/>
    <w:rsid w:val="004238A1"/>
    <w:rsid w:val="0042683D"/>
    <w:rsid w:val="00426AAF"/>
    <w:rsid w:val="004338F6"/>
    <w:rsid w:val="00446F35"/>
    <w:rsid w:val="004509B7"/>
    <w:rsid w:val="00456A37"/>
    <w:rsid w:val="00463B48"/>
    <w:rsid w:val="004666FD"/>
    <w:rsid w:val="0048352E"/>
    <w:rsid w:val="00491745"/>
    <w:rsid w:val="0049361F"/>
    <w:rsid w:val="00496494"/>
    <w:rsid w:val="00497D34"/>
    <w:rsid w:val="004A127E"/>
    <w:rsid w:val="004C17D0"/>
    <w:rsid w:val="004C5BF6"/>
    <w:rsid w:val="004D33B1"/>
    <w:rsid w:val="004D5934"/>
    <w:rsid w:val="004E0AF3"/>
    <w:rsid w:val="004E774A"/>
    <w:rsid w:val="00501725"/>
    <w:rsid w:val="00504314"/>
    <w:rsid w:val="005127F0"/>
    <w:rsid w:val="005131B5"/>
    <w:rsid w:val="00531FBE"/>
    <w:rsid w:val="00540125"/>
    <w:rsid w:val="00553EEF"/>
    <w:rsid w:val="00560316"/>
    <w:rsid w:val="0056707D"/>
    <w:rsid w:val="0057078C"/>
    <w:rsid w:val="00576C9D"/>
    <w:rsid w:val="00586AF2"/>
    <w:rsid w:val="00586EA1"/>
    <w:rsid w:val="005A0139"/>
    <w:rsid w:val="005A3FB3"/>
    <w:rsid w:val="005B09B9"/>
    <w:rsid w:val="005B46F0"/>
    <w:rsid w:val="005B657C"/>
    <w:rsid w:val="005C094E"/>
    <w:rsid w:val="005D0040"/>
    <w:rsid w:val="005D0685"/>
    <w:rsid w:val="005E58A1"/>
    <w:rsid w:val="006048F0"/>
    <w:rsid w:val="006075EE"/>
    <w:rsid w:val="00613BB6"/>
    <w:rsid w:val="00631AA0"/>
    <w:rsid w:val="00632350"/>
    <w:rsid w:val="00637054"/>
    <w:rsid w:val="0065026B"/>
    <w:rsid w:val="00650C62"/>
    <w:rsid w:val="006555F1"/>
    <w:rsid w:val="00657A05"/>
    <w:rsid w:val="006775BB"/>
    <w:rsid w:val="00696403"/>
    <w:rsid w:val="006967C6"/>
    <w:rsid w:val="00697986"/>
    <w:rsid w:val="006A2FBA"/>
    <w:rsid w:val="006B5B04"/>
    <w:rsid w:val="006C1F75"/>
    <w:rsid w:val="006D2BCC"/>
    <w:rsid w:val="006E47BF"/>
    <w:rsid w:val="007230CD"/>
    <w:rsid w:val="00742F0C"/>
    <w:rsid w:val="00750C1D"/>
    <w:rsid w:val="0075100A"/>
    <w:rsid w:val="007525F7"/>
    <w:rsid w:val="007712B4"/>
    <w:rsid w:val="0077246F"/>
    <w:rsid w:val="0077514F"/>
    <w:rsid w:val="00775CC7"/>
    <w:rsid w:val="00775FA8"/>
    <w:rsid w:val="00791A0D"/>
    <w:rsid w:val="007A3020"/>
    <w:rsid w:val="007A38F4"/>
    <w:rsid w:val="007A3EF2"/>
    <w:rsid w:val="007A42E1"/>
    <w:rsid w:val="007B0365"/>
    <w:rsid w:val="007B7B11"/>
    <w:rsid w:val="007C7B3E"/>
    <w:rsid w:val="007E1560"/>
    <w:rsid w:val="007E5A5D"/>
    <w:rsid w:val="007E605A"/>
    <w:rsid w:val="007E64C7"/>
    <w:rsid w:val="00804334"/>
    <w:rsid w:val="00807CCD"/>
    <w:rsid w:val="008153DE"/>
    <w:rsid w:val="00824531"/>
    <w:rsid w:val="00824A1A"/>
    <w:rsid w:val="00831BDB"/>
    <w:rsid w:val="00831DB0"/>
    <w:rsid w:val="0084187B"/>
    <w:rsid w:val="00842B27"/>
    <w:rsid w:val="00847AF8"/>
    <w:rsid w:val="0087363D"/>
    <w:rsid w:val="00884042"/>
    <w:rsid w:val="00886177"/>
    <w:rsid w:val="00896C11"/>
    <w:rsid w:val="00897956"/>
    <w:rsid w:val="008A0498"/>
    <w:rsid w:val="008A6D7E"/>
    <w:rsid w:val="008A70BB"/>
    <w:rsid w:val="008B20C5"/>
    <w:rsid w:val="008B3035"/>
    <w:rsid w:val="008B5273"/>
    <w:rsid w:val="008C4732"/>
    <w:rsid w:val="008D74B9"/>
    <w:rsid w:val="008E5D78"/>
    <w:rsid w:val="008E5FEE"/>
    <w:rsid w:val="008F68D0"/>
    <w:rsid w:val="008F73F0"/>
    <w:rsid w:val="00905E8E"/>
    <w:rsid w:val="00925AB4"/>
    <w:rsid w:val="009271B6"/>
    <w:rsid w:val="00935B2F"/>
    <w:rsid w:val="009416F2"/>
    <w:rsid w:val="009427EA"/>
    <w:rsid w:val="009475D2"/>
    <w:rsid w:val="0096169F"/>
    <w:rsid w:val="00971D87"/>
    <w:rsid w:val="00995217"/>
    <w:rsid w:val="00997718"/>
    <w:rsid w:val="009A0AF1"/>
    <w:rsid w:val="009A3DD2"/>
    <w:rsid w:val="009A7469"/>
    <w:rsid w:val="009B7AD3"/>
    <w:rsid w:val="009C129D"/>
    <w:rsid w:val="009E1647"/>
    <w:rsid w:val="009E622E"/>
    <w:rsid w:val="009F10CB"/>
    <w:rsid w:val="009F161F"/>
    <w:rsid w:val="009F246E"/>
    <w:rsid w:val="009F6DEE"/>
    <w:rsid w:val="00A01BC1"/>
    <w:rsid w:val="00A0679F"/>
    <w:rsid w:val="00A116FB"/>
    <w:rsid w:val="00A1428B"/>
    <w:rsid w:val="00A24950"/>
    <w:rsid w:val="00A34442"/>
    <w:rsid w:val="00A633BC"/>
    <w:rsid w:val="00A7037E"/>
    <w:rsid w:val="00A77DB8"/>
    <w:rsid w:val="00A824FB"/>
    <w:rsid w:val="00A94712"/>
    <w:rsid w:val="00AA1E54"/>
    <w:rsid w:val="00AB57A6"/>
    <w:rsid w:val="00AB6D3D"/>
    <w:rsid w:val="00AC57C6"/>
    <w:rsid w:val="00AC63AA"/>
    <w:rsid w:val="00AF0BE3"/>
    <w:rsid w:val="00AF52EA"/>
    <w:rsid w:val="00B018C3"/>
    <w:rsid w:val="00B031A2"/>
    <w:rsid w:val="00B15D08"/>
    <w:rsid w:val="00B30FA7"/>
    <w:rsid w:val="00B33BD1"/>
    <w:rsid w:val="00B411CF"/>
    <w:rsid w:val="00B659E9"/>
    <w:rsid w:val="00B72E2C"/>
    <w:rsid w:val="00B74019"/>
    <w:rsid w:val="00B81027"/>
    <w:rsid w:val="00B85D95"/>
    <w:rsid w:val="00B93DE5"/>
    <w:rsid w:val="00BB03C4"/>
    <w:rsid w:val="00BB23F5"/>
    <w:rsid w:val="00BB6DDC"/>
    <w:rsid w:val="00BC6B66"/>
    <w:rsid w:val="00BC7856"/>
    <w:rsid w:val="00BC7B85"/>
    <w:rsid w:val="00BD2991"/>
    <w:rsid w:val="00BD30BC"/>
    <w:rsid w:val="00BE25D3"/>
    <w:rsid w:val="00BE2914"/>
    <w:rsid w:val="00BE4CE6"/>
    <w:rsid w:val="00BF408B"/>
    <w:rsid w:val="00BF51C4"/>
    <w:rsid w:val="00BF6679"/>
    <w:rsid w:val="00C061A8"/>
    <w:rsid w:val="00C112D4"/>
    <w:rsid w:val="00C12B05"/>
    <w:rsid w:val="00C268F0"/>
    <w:rsid w:val="00C30937"/>
    <w:rsid w:val="00C32DEB"/>
    <w:rsid w:val="00C47FE7"/>
    <w:rsid w:val="00C6527B"/>
    <w:rsid w:val="00C65755"/>
    <w:rsid w:val="00C73CA4"/>
    <w:rsid w:val="00C745BE"/>
    <w:rsid w:val="00C74BF0"/>
    <w:rsid w:val="00C90E58"/>
    <w:rsid w:val="00CA1115"/>
    <w:rsid w:val="00CA720C"/>
    <w:rsid w:val="00CB0A80"/>
    <w:rsid w:val="00CB2950"/>
    <w:rsid w:val="00CB682F"/>
    <w:rsid w:val="00CC3751"/>
    <w:rsid w:val="00CD778B"/>
    <w:rsid w:val="00CE0A0E"/>
    <w:rsid w:val="00CE38B3"/>
    <w:rsid w:val="00CF05A9"/>
    <w:rsid w:val="00CF3775"/>
    <w:rsid w:val="00CF6C60"/>
    <w:rsid w:val="00CF71C5"/>
    <w:rsid w:val="00D022A7"/>
    <w:rsid w:val="00D04132"/>
    <w:rsid w:val="00D1290A"/>
    <w:rsid w:val="00D20C39"/>
    <w:rsid w:val="00D22650"/>
    <w:rsid w:val="00D254C3"/>
    <w:rsid w:val="00D27A6E"/>
    <w:rsid w:val="00D410AD"/>
    <w:rsid w:val="00D44715"/>
    <w:rsid w:val="00D55BAC"/>
    <w:rsid w:val="00D620A0"/>
    <w:rsid w:val="00D8032D"/>
    <w:rsid w:val="00D82E3C"/>
    <w:rsid w:val="00D9436D"/>
    <w:rsid w:val="00DA7207"/>
    <w:rsid w:val="00DB61B7"/>
    <w:rsid w:val="00DC1D5F"/>
    <w:rsid w:val="00DD2781"/>
    <w:rsid w:val="00DD5F60"/>
    <w:rsid w:val="00DE7D46"/>
    <w:rsid w:val="00DF3DCF"/>
    <w:rsid w:val="00E1069D"/>
    <w:rsid w:val="00E13B10"/>
    <w:rsid w:val="00E14ABC"/>
    <w:rsid w:val="00E20B67"/>
    <w:rsid w:val="00E23DB6"/>
    <w:rsid w:val="00E3202C"/>
    <w:rsid w:val="00E44A5B"/>
    <w:rsid w:val="00E51948"/>
    <w:rsid w:val="00E53E73"/>
    <w:rsid w:val="00E57CD9"/>
    <w:rsid w:val="00E82084"/>
    <w:rsid w:val="00E940CE"/>
    <w:rsid w:val="00E95A4A"/>
    <w:rsid w:val="00E96640"/>
    <w:rsid w:val="00EC260B"/>
    <w:rsid w:val="00EC5732"/>
    <w:rsid w:val="00EC65D7"/>
    <w:rsid w:val="00ED1291"/>
    <w:rsid w:val="00ED21B4"/>
    <w:rsid w:val="00ED4D9A"/>
    <w:rsid w:val="00F065BB"/>
    <w:rsid w:val="00F15537"/>
    <w:rsid w:val="00F24169"/>
    <w:rsid w:val="00F26FBE"/>
    <w:rsid w:val="00F33C93"/>
    <w:rsid w:val="00F647C5"/>
    <w:rsid w:val="00F719A1"/>
    <w:rsid w:val="00FA1D4F"/>
    <w:rsid w:val="00FA4649"/>
    <w:rsid w:val="00FB1FB5"/>
    <w:rsid w:val="00FB6B49"/>
    <w:rsid w:val="00FC35D0"/>
    <w:rsid w:val="00FD0738"/>
    <w:rsid w:val="00FD2D72"/>
    <w:rsid w:val="00FF2918"/>
  </w:rsids>
  <m:mathPr>
    <m:mathFont m:val="Cambria Math"/>
    <m:brkBin m:val="before"/>
    <m:brkBinSub m:val="--"/>
    <m:smallFrac m:val="0"/>
    <m:dispDef/>
    <m:lMargin m:val="0"/>
    <m:rMargin m:val="0"/>
    <m:defJc m:val="centerGroup"/>
    <m:wrapIndent m:val="1440"/>
    <m:intLim m:val="subSup"/>
    <m:naryLim m:val="undOvr"/>
  </m:mathPr>
  <w:themeFontLang w:val="nb-N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5CB6"/>
  <w15:chartTrackingRefBased/>
  <w15:docId w15:val="{C876E201-B438-4B67-B186-02D2FFF6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1C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824A1A"/>
    <w:pPr>
      <w:keepNext/>
      <w:keepLines/>
      <w:spacing w:after="0" w:line="240" w:lineRule="auto"/>
      <w:outlineLvl w:val="0"/>
    </w:pPr>
    <w:rPr>
      <w:rFonts w:eastAsiaTheme="majorEastAsia" w:cstheme="majorBidi"/>
      <w:color w:val="000000" w:themeColor="text1"/>
      <w:sz w:val="36"/>
      <w:szCs w:val="32"/>
    </w:rPr>
  </w:style>
  <w:style w:type="paragraph" w:styleId="Heading5">
    <w:name w:val="heading 5"/>
    <w:basedOn w:val="Normal"/>
    <w:link w:val="Heading5Char"/>
    <w:uiPriority w:val="9"/>
    <w:qFormat/>
    <w:rsid w:val="002732E5"/>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0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E605A"/>
    <w:pPr>
      <w:ind w:left="720"/>
    </w:pPr>
  </w:style>
  <w:style w:type="paragraph" w:styleId="Header">
    <w:name w:val="header"/>
    <w:basedOn w:val="Normal"/>
    <w:link w:val="HeaderChar"/>
    <w:uiPriority w:val="99"/>
    <w:unhideWhenUsed/>
    <w:rsid w:val="005C094E"/>
    <w:pPr>
      <w:tabs>
        <w:tab w:val="center" w:pos="4680"/>
        <w:tab w:val="right" w:pos="9360"/>
      </w:tabs>
    </w:pPr>
  </w:style>
  <w:style w:type="character" w:customStyle="1" w:styleId="HeaderChar">
    <w:name w:val="Header Char"/>
    <w:basedOn w:val="DefaultParagraphFont"/>
    <w:link w:val="Header"/>
    <w:uiPriority w:val="99"/>
    <w:rsid w:val="005C094E"/>
  </w:style>
  <w:style w:type="paragraph" w:styleId="Footer">
    <w:name w:val="footer"/>
    <w:basedOn w:val="Normal"/>
    <w:link w:val="FooterChar"/>
    <w:uiPriority w:val="99"/>
    <w:unhideWhenUsed/>
    <w:rsid w:val="005C094E"/>
    <w:pPr>
      <w:tabs>
        <w:tab w:val="center" w:pos="4680"/>
        <w:tab w:val="right" w:pos="9360"/>
      </w:tabs>
    </w:pPr>
  </w:style>
  <w:style w:type="character" w:customStyle="1" w:styleId="FooterChar">
    <w:name w:val="Footer Char"/>
    <w:basedOn w:val="DefaultParagraphFont"/>
    <w:link w:val="Footer"/>
    <w:uiPriority w:val="99"/>
    <w:rsid w:val="005C094E"/>
  </w:style>
  <w:style w:type="paragraph" w:styleId="BalloonText">
    <w:name w:val="Balloon Text"/>
    <w:basedOn w:val="Normal"/>
    <w:link w:val="BalloonTextChar"/>
    <w:uiPriority w:val="99"/>
    <w:semiHidden/>
    <w:unhideWhenUsed/>
    <w:rsid w:val="005C09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094E"/>
    <w:rPr>
      <w:rFonts w:ascii="Tahoma" w:hAnsi="Tahoma" w:cs="Tahoma"/>
      <w:sz w:val="16"/>
      <w:szCs w:val="16"/>
    </w:rPr>
  </w:style>
  <w:style w:type="character" w:styleId="Strong">
    <w:name w:val="Strong"/>
    <w:uiPriority w:val="22"/>
    <w:qFormat/>
    <w:rsid w:val="002732E5"/>
    <w:rPr>
      <w:b/>
      <w:bCs/>
    </w:rPr>
  </w:style>
  <w:style w:type="character" w:customStyle="1" w:styleId="Heading5Char">
    <w:name w:val="Heading 5 Char"/>
    <w:link w:val="Heading5"/>
    <w:uiPriority w:val="9"/>
    <w:rsid w:val="002732E5"/>
    <w:rPr>
      <w:rFonts w:ascii="Times New Roman" w:eastAsia="Times New Roman" w:hAnsi="Times New Roman"/>
      <w:b/>
      <w:bCs/>
    </w:rPr>
  </w:style>
  <w:style w:type="paragraph" w:styleId="NormalWeb">
    <w:name w:val="Normal (Web)"/>
    <w:basedOn w:val="Normal"/>
    <w:uiPriority w:val="99"/>
    <w:semiHidden/>
    <w:unhideWhenUsed/>
    <w:rsid w:val="002732E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732E5"/>
    <w:rPr>
      <w:color w:val="0000FF"/>
      <w:u w:val="single"/>
    </w:rPr>
  </w:style>
  <w:style w:type="character" w:customStyle="1" w:styleId="apple-converted-space">
    <w:name w:val="apple-converted-space"/>
    <w:rsid w:val="00222C76"/>
  </w:style>
  <w:style w:type="character" w:styleId="FollowedHyperlink">
    <w:name w:val="FollowedHyperlink"/>
    <w:uiPriority w:val="99"/>
    <w:semiHidden/>
    <w:unhideWhenUsed/>
    <w:rsid w:val="002F1AD5"/>
    <w:rPr>
      <w:color w:val="954F72"/>
      <w:u w:val="single"/>
    </w:rPr>
  </w:style>
  <w:style w:type="character" w:styleId="CommentReference">
    <w:name w:val="annotation reference"/>
    <w:uiPriority w:val="99"/>
    <w:semiHidden/>
    <w:unhideWhenUsed/>
    <w:rsid w:val="00E23DB6"/>
    <w:rPr>
      <w:sz w:val="16"/>
      <w:szCs w:val="16"/>
    </w:rPr>
  </w:style>
  <w:style w:type="paragraph" w:styleId="CommentText">
    <w:name w:val="annotation text"/>
    <w:basedOn w:val="Normal"/>
    <w:link w:val="CommentTextChar"/>
    <w:uiPriority w:val="99"/>
    <w:unhideWhenUsed/>
    <w:rsid w:val="00E23DB6"/>
    <w:rPr>
      <w:sz w:val="20"/>
      <w:szCs w:val="20"/>
    </w:rPr>
  </w:style>
  <w:style w:type="character" w:customStyle="1" w:styleId="CommentTextChar">
    <w:name w:val="Comment Text Char"/>
    <w:basedOn w:val="DefaultParagraphFont"/>
    <w:link w:val="CommentText"/>
    <w:uiPriority w:val="99"/>
    <w:rsid w:val="00E23DB6"/>
  </w:style>
  <w:style w:type="paragraph" w:styleId="CommentSubject">
    <w:name w:val="annotation subject"/>
    <w:basedOn w:val="CommentText"/>
    <w:next w:val="CommentText"/>
    <w:link w:val="CommentSubjectChar"/>
    <w:uiPriority w:val="99"/>
    <w:semiHidden/>
    <w:unhideWhenUsed/>
    <w:rsid w:val="00E23DB6"/>
    <w:rPr>
      <w:b/>
      <w:bCs/>
    </w:rPr>
  </w:style>
  <w:style w:type="character" w:customStyle="1" w:styleId="CommentSubjectChar">
    <w:name w:val="Comment Subject Char"/>
    <w:link w:val="CommentSubject"/>
    <w:uiPriority w:val="99"/>
    <w:semiHidden/>
    <w:rsid w:val="00E23DB6"/>
    <w:rPr>
      <w:b/>
      <w:bCs/>
    </w:rPr>
  </w:style>
  <w:style w:type="paragraph" w:styleId="Revision">
    <w:name w:val="Revision"/>
    <w:hidden/>
    <w:uiPriority w:val="99"/>
    <w:semiHidden/>
    <w:rsid w:val="00EC260B"/>
    <w:rPr>
      <w:sz w:val="22"/>
      <w:szCs w:val="22"/>
      <w:lang w:val="en-US" w:eastAsia="en-US"/>
    </w:rPr>
  </w:style>
  <w:style w:type="character" w:styleId="UnresolvedMention">
    <w:name w:val="Unresolved Mention"/>
    <w:uiPriority w:val="99"/>
    <w:semiHidden/>
    <w:unhideWhenUsed/>
    <w:rsid w:val="004A127E"/>
    <w:rPr>
      <w:color w:val="605E5C"/>
      <w:shd w:val="clear" w:color="auto" w:fill="E1DFDD"/>
    </w:rPr>
  </w:style>
  <w:style w:type="character" w:customStyle="1" w:styleId="Heading1Char">
    <w:name w:val="Heading 1 Char"/>
    <w:basedOn w:val="DefaultParagraphFont"/>
    <w:link w:val="Heading1"/>
    <w:uiPriority w:val="9"/>
    <w:rsid w:val="00824A1A"/>
    <w:rPr>
      <w:rFonts w:eastAsiaTheme="majorEastAsia" w:cstheme="majorBidi"/>
      <w:color w:val="000000" w:themeColor="text1"/>
      <w:sz w:val="36"/>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2988">
      <w:bodyDiv w:val="1"/>
      <w:marLeft w:val="0"/>
      <w:marRight w:val="0"/>
      <w:marTop w:val="0"/>
      <w:marBottom w:val="0"/>
      <w:divBdr>
        <w:top w:val="none" w:sz="0" w:space="0" w:color="auto"/>
        <w:left w:val="none" w:sz="0" w:space="0" w:color="auto"/>
        <w:bottom w:val="none" w:sz="0" w:space="0" w:color="auto"/>
        <w:right w:val="none" w:sz="0" w:space="0" w:color="auto"/>
      </w:divBdr>
      <w:divsChild>
        <w:div w:id="31464804">
          <w:marLeft w:val="0"/>
          <w:marRight w:val="0"/>
          <w:marTop w:val="0"/>
          <w:marBottom w:val="0"/>
          <w:divBdr>
            <w:top w:val="none" w:sz="0" w:space="0" w:color="auto"/>
            <w:left w:val="none" w:sz="0" w:space="0" w:color="auto"/>
            <w:bottom w:val="none" w:sz="0" w:space="0" w:color="auto"/>
            <w:right w:val="none" w:sz="0" w:space="0" w:color="auto"/>
          </w:divBdr>
          <w:divsChild>
            <w:div w:id="551425272">
              <w:marLeft w:val="0"/>
              <w:marRight w:val="0"/>
              <w:marTop w:val="0"/>
              <w:marBottom w:val="0"/>
              <w:divBdr>
                <w:top w:val="none" w:sz="0" w:space="0" w:color="auto"/>
                <w:left w:val="none" w:sz="0" w:space="0" w:color="auto"/>
                <w:bottom w:val="none" w:sz="0" w:space="0" w:color="auto"/>
                <w:right w:val="none" w:sz="0" w:space="0" w:color="auto"/>
              </w:divBdr>
              <w:divsChild>
                <w:div w:id="1975136524">
                  <w:marLeft w:val="0"/>
                  <w:marRight w:val="0"/>
                  <w:marTop w:val="0"/>
                  <w:marBottom w:val="0"/>
                  <w:divBdr>
                    <w:top w:val="none" w:sz="0" w:space="0" w:color="auto"/>
                    <w:left w:val="none" w:sz="0" w:space="0" w:color="auto"/>
                    <w:bottom w:val="none" w:sz="0" w:space="0" w:color="auto"/>
                    <w:right w:val="none" w:sz="0" w:space="0" w:color="auto"/>
                  </w:divBdr>
                  <w:divsChild>
                    <w:div w:id="5651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71178">
      <w:bodyDiv w:val="1"/>
      <w:marLeft w:val="0"/>
      <w:marRight w:val="0"/>
      <w:marTop w:val="0"/>
      <w:marBottom w:val="0"/>
      <w:divBdr>
        <w:top w:val="none" w:sz="0" w:space="0" w:color="auto"/>
        <w:left w:val="none" w:sz="0" w:space="0" w:color="auto"/>
        <w:bottom w:val="none" w:sz="0" w:space="0" w:color="auto"/>
        <w:right w:val="none" w:sz="0" w:space="0" w:color="auto"/>
      </w:divBdr>
    </w:div>
    <w:div w:id="1012953532">
      <w:bodyDiv w:val="1"/>
      <w:marLeft w:val="0"/>
      <w:marRight w:val="0"/>
      <w:marTop w:val="0"/>
      <w:marBottom w:val="0"/>
      <w:divBdr>
        <w:top w:val="none" w:sz="0" w:space="0" w:color="auto"/>
        <w:left w:val="none" w:sz="0" w:space="0" w:color="auto"/>
        <w:bottom w:val="none" w:sz="0" w:space="0" w:color="auto"/>
        <w:right w:val="none" w:sz="0" w:space="0" w:color="auto"/>
      </w:divBdr>
      <w:divsChild>
        <w:div w:id="1288463185">
          <w:marLeft w:val="0"/>
          <w:marRight w:val="0"/>
          <w:marTop w:val="0"/>
          <w:marBottom w:val="0"/>
          <w:divBdr>
            <w:top w:val="none" w:sz="0" w:space="0" w:color="auto"/>
            <w:left w:val="none" w:sz="0" w:space="0" w:color="auto"/>
            <w:bottom w:val="none" w:sz="0" w:space="0" w:color="auto"/>
            <w:right w:val="none" w:sz="0" w:space="0" w:color="auto"/>
          </w:divBdr>
          <w:divsChild>
            <w:div w:id="1436362620">
              <w:marLeft w:val="0"/>
              <w:marRight w:val="0"/>
              <w:marTop w:val="0"/>
              <w:marBottom w:val="0"/>
              <w:divBdr>
                <w:top w:val="none" w:sz="0" w:space="0" w:color="auto"/>
                <w:left w:val="none" w:sz="0" w:space="0" w:color="auto"/>
                <w:bottom w:val="none" w:sz="0" w:space="0" w:color="auto"/>
                <w:right w:val="none" w:sz="0" w:space="0" w:color="auto"/>
              </w:divBdr>
              <w:divsChild>
                <w:div w:id="129327887">
                  <w:marLeft w:val="0"/>
                  <w:marRight w:val="0"/>
                  <w:marTop w:val="0"/>
                  <w:marBottom w:val="0"/>
                  <w:divBdr>
                    <w:top w:val="none" w:sz="0" w:space="0" w:color="auto"/>
                    <w:left w:val="none" w:sz="0" w:space="0" w:color="auto"/>
                    <w:bottom w:val="none" w:sz="0" w:space="0" w:color="auto"/>
                    <w:right w:val="none" w:sz="0" w:space="0" w:color="auto"/>
                  </w:divBdr>
                  <w:divsChild>
                    <w:div w:id="16680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05699">
      <w:bodyDiv w:val="1"/>
      <w:marLeft w:val="0"/>
      <w:marRight w:val="0"/>
      <w:marTop w:val="0"/>
      <w:marBottom w:val="0"/>
      <w:divBdr>
        <w:top w:val="none" w:sz="0" w:space="0" w:color="auto"/>
        <w:left w:val="none" w:sz="0" w:space="0" w:color="auto"/>
        <w:bottom w:val="none" w:sz="0" w:space="0" w:color="auto"/>
        <w:right w:val="none" w:sz="0" w:space="0" w:color="auto"/>
      </w:divBdr>
      <w:divsChild>
        <w:div w:id="1876040058">
          <w:marLeft w:val="0"/>
          <w:marRight w:val="0"/>
          <w:marTop w:val="0"/>
          <w:marBottom w:val="0"/>
          <w:divBdr>
            <w:top w:val="none" w:sz="0" w:space="0" w:color="auto"/>
            <w:left w:val="none" w:sz="0" w:space="0" w:color="auto"/>
            <w:bottom w:val="none" w:sz="0" w:space="0" w:color="auto"/>
            <w:right w:val="none" w:sz="0" w:space="0" w:color="auto"/>
          </w:divBdr>
          <w:divsChild>
            <w:div w:id="1707876781">
              <w:marLeft w:val="0"/>
              <w:marRight w:val="0"/>
              <w:marTop w:val="0"/>
              <w:marBottom w:val="0"/>
              <w:divBdr>
                <w:top w:val="none" w:sz="0" w:space="0" w:color="auto"/>
                <w:left w:val="none" w:sz="0" w:space="0" w:color="auto"/>
                <w:bottom w:val="none" w:sz="0" w:space="0" w:color="auto"/>
                <w:right w:val="none" w:sz="0" w:space="0" w:color="auto"/>
              </w:divBdr>
              <w:divsChild>
                <w:div w:id="1539585514">
                  <w:marLeft w:val="0"/>
                  <w:marRight w:val="0"/>
                  <w:marTop w:val="0"/>
                  <w:marBottom w:val="0"/>
                  <w:divBdr>
                    <w:top w:val="none" w:sz="0" w:space="0" w:color="auto"/>
                    <w:left w:val="none" w:sz="0" w:space="0" w:color="auto"/>
                    <w:bottom w:val="none" w:sz="0" w:space="0" w:color="auto"/>
                    <w:right w:val="none" w:sz="0" w:space="0" w:color="auto"/>
                  </w:divBdr>
                  <w:divsChild>
                    <w:div w:id="21422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cal-devices/investigational-device-exemption-ide/expanded-access-medical-devices" TargetMode="External"/><Relationship Id="rId18" Type="http://schemas.openxmlformats.org/officeDocument/2006/relationships/hyperlink" Target="https://research.iu.edu/policies/human-subjects-irb/research-data-management.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da.gov/medical-devices/investigational-device-exemption-ide/expanded-access-medical-devices" TargetMode="External"/><Relationship Id="rId17" Type="http://schemas.openxmlformats.org/officeDocument/2006/relationships/hyperlink" Target="https://research.iu.edu/policies/human-subjects-irb/research-personnel-responsibilities.html" TargetMode="External"/><Relationship Id="rId2" Type="http://schemas.openxmlformats.org/officeDocument/2006/relationships/customXml" Target="../customXml/item2.xml"/><Relationship Id="rId16" Type="http://schemas.openxmlformats.org/officeDocument/2006/relationships/hyperlink" Target="https://www.fda.gov/medical-devices/investigational-device-exemption-ide/expanded-access-medical-de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out.citiprogram.org/blog/revisions-to-iso-141552020/" TargetMode="External"/><Relationship Id="rId5" Type="http://schemas.openxmlformats.org/officeDocument/2006/relationships/numbering" Target="numbering.xml"/><Relationship Id="rId15" Type="http://schemas.openxmlformats.org/officeDocument/2006/relationships/hyperlink" Target="https://research.iu.edu/policies/human-subjects-irb/reportable-events.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cal-devices/investigational-device-exemption-ide/expanded-access-medical-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21" ma:contentTypeDescription="Create a new document." ma:contentTypeScope="" ma:versionID="4bb6056259bc0d15fdf3c1095998e7ae">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ed4bd5305cfe848056bebfde6b02bb4a"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lcf76f155ced4ddcb4097134ff3c332f xmlns="d90a9632-a870-49ae-9378-225bd5c60b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941AB-4642-4056-AA71-E55762D4F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41F0C-09E5-42FE-BFBF-FE869B14799B}">
  <ds:schemaRefs>
    <ds:schemaRef ds:uri="http://schemas.microsoft.com/office/2006/documentManagement/types"/>
    <ds:schemaRef ds:uri="d90a9632-a870-49ae-9378-225bd5c60b0a"/>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0432d51d-9459-41b2-acee-fcf93e3ac757"/>
    <ds:schemaRef ds:uri="http://purl.org/dc/elements/1.1/"/>
  </ds:schemaRefs>
</ds:datastoreItem>
</file>

<file path=customXml/itemProps3.xml><?xml version="1.0" encoding="utf-8"?>
<ds:datastoreItem xmlns:ds="http://schemas.openxmlformats.org/officeDocument/2006/customXml" ds:itemID="{C75FEF54-019A-4DF2-AAFA-31FDDCCD45A0}">
  <ds:schemaRefs>
    <ds:schemaRef ds:uri="http://schemas.openxmlformats.org/officeDocument/2006/bibliography"/>
  </ds:schemaRefs>
</ds:datastoreItem>
</file>

<file path=customXml/itemProps4.xml><?xml version="1.0" encoding="utf-8"?>
<ds:datastoreItem xmlns:ds="http://schemas.openxmlformats.org/officeDocument/2006/customXml" ds:itemID="{DC13DCAE-14D5-440D-AC82-40B5B3B67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Sponsor-Investigator Responsibilities for Expanded Access IDEs (for Individual Patient or Small Group Access) Indiana Clinical and Translational Sciences Institute (CTSI) &amp; IU Quality Improvement Office (QIO)</vt:lpstr>
    </vt:vector>
  </TitlesOfParts>
  <Company>Department of Pediatrics</Company>
  <LinksUpToDate>false</LinksUpToDate>
  <CharactersWithSpaces>8649</CharactersWithSpaces>
  <SharedDoc>false</SharedDoc>
  <HLinks>
    <vt:vector size="48" baseType="variant">
      <vt:variant>
        <vt:i4>5636115</vt:i4>
      </vt:variant>
      <vt:variant>
        <vt:i4>21</vt:i4>
      </vt:variant>
      <vt:variant>
        <vt:i4>0</vt:i4>
      </vt:variant>
      <vt:variant>
        <vt:i4>5</vt:i4>
      </vt:variant>
      <vt:variant>
        <vt:lpwstr>https://research.iu.edu/policies/human-subjects-irb/research-data-management.html</vt:lpwstr>
      </vt:variant>
      <vt:variant>
        <vt:lpwstr/>
      </vt:variant>
      <vt:variant>
        <vt:i4>4259859</vt:i4>
      </vt:variant>
      <vt:variant>
        <vt:i4>18</vt:i4>
      </vt:variant>
      <vt:variant>
        <vt:i4>0</vt:i4>
      </vt:variant>
      <vt:variant>
        <vt:i4>5</vt:i4>
      </vt:variant>
      <vt:variant>
        <vt:lpwstr>https://research.iu.edu/policies/human-subjects-irb/research-personnel-responsibilities.html</vt:lpwstr>
      </vt:variant>
      <vt:variant>
        <vt:lpwstr/>
      </vt:variant>
      <vt:variant>
        <vt:i4>4456471</vt:i4>
      </vt:variant>
      <vt:variant>
        <vt:i4>15</vt:i4>
      </vt:variant>
      <vt:variant>
        <vt:i4>0</vt:i4>
      </vt:variant>
      <vt:variant>
        <vt:i4>5</vt:i4>
      </vt:variant>
      <vt:variant>
        <vt:lpwstr>https://www.fda.gov/medical-devices/investigational-device-exemption-ide/expanded-access-medical-devices</vt:lpwstr>
      </vt:variant>
      <vt:variant>
        <vt:lpwstr>compassionate</vt:lpwstr>
      </vt:variant>
      <vt:variant>
        <vt:i4>3866686</vt:i4>
      </vt:variant>
      <vt:variant>
        <vt:i4>12</vt:i4>
      </vt:variant>
      <vt:variant>
        <vt:i4>0</vt:i4>
      </vt:variant>
      <vt:variant>
        <vt:i4>5</vt:i4>
      </vt:variant>
      <vt:variant>
        <vt:lpwstr>https://research.iu.edu/policies/human-subjects-irb/reportable-events.html</vt:lpwstr>
      </vt:variant>
      <vt:variant>
        <vt:lpwstr/>
      </vt:variant>
      <vt:variant>
        <vt:i4>4456471</vt:i4>
      </vt:variant>
      <vt:variant>
        <vt:i4>9</vt:i4>
      </vt:variant>
      <vt:variant>
        <vt:i4>0</vt:i4>
      </vt:variant>
      <vt:variant>
        <vt:i4>5</vt:i4>
      </vt:variant>
      <vt:variant>
        <vt:lpwstr>https://www.fda.gov/medical-devices/investigational-device-exemption-ide/expanded-access-medical-devices</vt:lpwstr>
      </vt:variant>
      <vt:variant>
        <vt:lpwstr>compassionate</vt:lpwstr>
      </vt:variant>
      <vt:variant>
        <vt:i4>4456471</vt:i4>
      </vt:variant>
      <vt:variant>
        <vt:i4>6</vt:i4>
      </vt:variant>
      <vt:variant>
        <vt:i4>0</vt:i4>
      </vt:variant>
      <vt:variant>
        <vt:i4>5</vt:i4>
      </vt:variant>
      <vt:variant>
        <vt:lpwstr>https://www.fda.gov/medical-devices/investigational-device-exemption-ide/expanded-access-medical-devices</vt:lpwstr>
      </vt:variant>
      <vt:variant>
        <vt:lpwstr>compassionate</vt:lpwstr>
      </vt:variant>
      <vt:variant>
        <vt:i4>4456471</vt:i4>
      </vt:variant>
      <vt:variant>
        <vt:i4>3</vt:i4>
      </vt:variant>
      <vt:variant>
        <vt:i4>0</vt:i4>
      </vt:variant>
      <vt:variant>
        <vt:i4>5</vt:i4>
      </vt:variant>
      <vt:variant>
        <vt:lpwstr>https://www.fda.gov/medical-devices/investigational-device-exemption-ide/expanded-access-medical-devices</vt:lpwstr>
      </vt:variant>
      <vt:variant>
        <vt:lpwstr>compassionate</vt:lpwstr>
      </vt:variant>
      <vt:variant>
        <vt:i4>5701659</vt:i4>
      </vt:variant>
      <vt:variant>
        <vt:i4>0</vt:i4>
      </vt:variant>
      <vt:variant>
        <vt:i4>0</vt:i4>
      </vt:variant>
      <vt:variant>
        <vt:i4>5</vt:i4>
      </vt:variant>
      <vt:variant>
        <vt:lpwstr>https://about.citiprogram.org/blog/revisions-to-iso-141552020/</vt:lpwstr>
      </vt:variant>
      <vt:variant>
        <vt:lpwstr>:~:text=What%20is%20ISO%2014155?,of%20clinical%20data%20by%20regulators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Sponsor-Investigator Responsibilities for Expanded Access IDEs (for Individual Patient or Small Group Access) Indiana Clinical and Translational Sciences Institute (CTSI) &amp; IU Quality Improvement Office (QIO)</dc:title>
  <dc:subject/>
  <dc:creator>harlandj</dc:creator>
  <cp:keywords/>
  <cp:lastModifiedBy>Suvidha Bane</cp:lastModifiedBy>
  <cp:revision>6</cp:revision>
  <cp:lastPrinted>2015-11-03T02:34:00Z</cp:lastPrinted>
  <dcterms:created xsi:type="dcterms:W3CDTF">2025-10-24T06:23:00Z</dcterms:created>
  <dcterms:modified xsi:type="dcterms:W3CDTF">2025-10-24T07:30:00Z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