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0CED" w14:textId="77777777" w:rsidR="00BB64F9" w:rsidRPr="00277B6A" w:rsidRDefault="00BB64F9" w:rsidP="00FA62EC">
      <w:pPr>
        <w:pStyle w:val="Heading1"/>
        <w:spacing w:before="240"/>
      </w:pPr>
      <w:r w:rsidRPr="00277B6A">
        <w:t>Appendix B-I. Risk Group 1 (RG1) Agents</w:t>
      </w:r>
    </w:p>
    <w:p w14:paraId="2CB29B5E" w14:textId="77777777" w:rsidR="00BB64F9" w:rsidRPr="00426A20" w:rsidRDefault="00BB64F9" w:rsidP="00277B6A">
      <w:pPr>
        <w:pStyle w:val="ListParagraph"/>
      </w:pPr>
      <w:r w:rsidRPr="00BB64F9">
        <w:t xml:space="preserve">RG1 agents are not associated with disease in healthy adult humans. Examples of RG1 agents include </w:t>
      </w:r>
      <w:proofErr w:type="spellStart"/>
      <w:r w:rsidRPr="00BB64F9">
        <w:t>asporogenic</w:t>
      </w:r>
      <w:proofErr w:type="spellEnd"/>
      <w:r w:rsidRPr="00BB64F9">
        <w:t xml:space="preserve"> </w:t>
      </w:r>
      <w:r w:rsidRPr="00BB64F9">
        <w:rPr>
          <w:i/>
          <w:iCs/>
        </w:rPr>
        <w:t xml:space="preserve">Bacillus subtilis </w:t>
      </w:r>
      <w:r w:rsidRPr="00BB64F9">
        <w:t xml:space="preserve">or </w:t>
      </w:r>
      <w:r w:rsidRPr="00BB64F9">
        <w:rPr>
          <w:i/>
          <w:iCs/>
        </w:rPr>
        <w:t xml:space="preserve">Bacillus </w:t>
      </w:r>
      <w:r w:rsidRPr="00426A20">
        <w:rPr>
          <w:i/>
          <w:iCs/>
        </w:rPr>
        <w:t xml:space="preserve">licheniformis </w:t>
      </w:r>
      <w:r w:rsidRPr="00426A20">
        <w:t xml:space="preserve">(see Appendix C-IV-A, </w:t>
      </w:r>
      <w:r w:rsidRPr="00426A20">
        <w:rPr>
          <w:i/>
          <w:iCs/>
        </w:rPr>
        <w:t xml:space="preserve">Bacillus subtilis </w:t>
      </w:r>
      <w:r w:rsidRPr="00426A20">
        <w:t xml:space="preserve">or </w:t>
      </w:r>
      <w:proofErr w:type="spellStart"/>
      <w:r w:rsidRPr="00426A20">
        <w:rPr>
          <w:i/>
          <w:iCs/>
        </w:rPr>
        <w:t>Bacilluslicheniformis</w:t>
      </w:r>
      <w:proofErr w:type="spellEnd"/>
      <w:r w:rsidRPr="00426A20">
        <w:rPr>
          <w:i/>
          <w:iCs/>
        </w:rPr>
        <w:t xml:space="preserve"> </w:t>
      </w:r>
      <w:r w:rsidRPr="00426A20">
        <w:t>Host-Vector Systems, Exceptions)</w:t>
      </w:r>
    </w:p>
    <w:p w14:paraId="5AFF329F" w14:textId="77777777" w:rsidR="00BB64F9" w:rsidRPr="00426A20" w:rsidRDefault="00BB64F9" w:rsidP="00277B6A">
      <w:pPr>
        <w:pStyle w:val="ListParagraph"/>
      </w:pPr>
      <w:r w:rsidRPr="00426A20">
        <w:t xml:space="preserve">adeno- associated virus (AAV) types 1 through 4; and recombinant AAV constructs, in which the transgene does not encode either a potentially tumorigenic gene product or a toxin molecule and are </w:t>
      </w:r>
      <w:r w:rsidRPr="00277B6A">
        <w:t>produced</w:t>
      </w:r>
      <w:r w:rsidRPr="00426A20">
        <w:t xml:space="preserve"> in the absence of a helper virus</w:t>
      </w:r>
    </w:p>
    <w:p w14:paraId="0B45F6ED" w14:textId="77777777" w:rsidR="00BB64F9" w:rsidRPr="00BB64F9" w:rsidRDefault="00BB64F9" w:rsidP="00277B6A">
      <w:pPr>
        <w:pStyle w:val="ListParagraph"/>
      </w:pPr>
      <w:r w:rsidRPr="00426A20">
        <w:t xml:space="preserve">A strain of </w:t>
      </w:r>
      <w:r w:rsidRPr="00426A20">
        <w:rPr>
          <w:i/>
          <w:iCs/>
        </w:rPr>
        <w:t xml:space="preserve">Escherichia coli </w:t>
      </w:r>
      <w:r w:rsidRPr="00426A20">
        <w:t xml:space="preserve">(see Appendix C-II-A, </w:t>
      </w:r>
      <w:r w:rsidRPr="00426A20">
        <w:rPr>
          <w:i/>
          <w:iCs/>
        </w:rPr>
        <w:t xml:space="preserve">Escherichia </w:t>
      </w:r>
      <w:r w:rsidRPr="00BB64F9">
        <w:rPr>
          <w:i/>
          <w:iCs/>
        </w:rPr>
        <w:t xml:space="preserve">coli </w:t>
      </w:r>
      <w:r w:rsidRPr="00BB64F9">
        <w:t xml:space="preserve">K-12 Host Vector Systems, Exceptions) is </w:t>
      </w:r>
      <w:r w:rsidRPr="00277B6A">
        <w:t>an</w:t>
      </w:r>
      <w:r w:rsidRPr="00BB64F9">
        <w:t xml:space="preserve"> RG1 agent if it (1) does not possess a complete lipopolysaccharide (</w:t>
      </w:r>
      <w:r w:rsidRPr="00BB64F9">
        <w:rPr>
          <w:i/>
          <w:iCs/>
        </w:rPr>
        <w:t>i.e</w:t>
      </w:r>
      <w:r w:rsidRPr="00BB64F9">
        <w:t>., lacks the O antigen); and (2) does not carry any active virulence factor (</w:t>
      </w:r>
      <w:r w:rsidRPr="00BB64F9">
        <w:rPr>
          <w:i/>
          <w:iCs/>
        </w:rPr>
        <w:t>e.g</w:t>
      </w:r>
      <w:r w:rsidRPr="00BB64F9">
        <w:t>., toxins) or colonization factors and does not carry any genes encoding these factors.</w:t>
      </w:r>
    </w:p>
    <w:p w14:paraId="161E8A90" w14:textId="77777777" w:rsidR="00BB64F9" w:rsidRPr="00BB64F9" w:rsidRDefault="00BB64F9" w:rsidP="00277B6A">
      <w:pPr>
        <w:pStyle w:val="ListParagraph"/>
      </w:pPr>
      <w:r w:rsidRPr="00BB64F9">
        <w:t xml:space="preserve">Those agents not </w:t>
      </w:r>
      <w:r w:rsidRPr="00277B6A">
        <w:t>listed</w:t>
      </w:r>
      <w:r w:rsidRPr="00BB64F9">
        <w:t xml:space="preserve"> in Risk Groups (RGs) 2, 3 and 4 are not automatically or implicitly classified in RG1; a risk assessment must be conducted based on the known and potential properties of the agents and their relationship to agents that are listed.</w:t>
      </w:r>
    </w:p>
    <w:p w14:paraId="6D83B65D" w14:textId="5A9148C6" w:rsidR="00BB64F9" w:rsidRPr="00BB64F9" w:rsidRDefault="00BB64F9" w:rsidP="00277B6A">
      <w:pPr>
        <w:pStyle w:val="ListParagraph"/>
        <w:rPr>
          <w:b/>
          <w:bCs/>
        </w:rPr>
      </w:pPr>
      <w:r w:rsidRPr="00BB64F9">
        <w:t xml:space="preserve">This appendix reflects the current state of knowledge and should be considered a resource document. </w:t>
      </w:r>
      <w:r w:rsidRPr="00277B6A">
        <w:t>Included</w:t>
      </w:r>
      <w:r w:rsidRPr="00BB64F9">
        <w:t xml:space="preserve"> are the more commonly encountered agents and is not meant to be all-inclusive. Information on agent risk assessment may be found in the </w:t>
      </w:r>
      <w:r w:rsidRPr="00BB64F9">
        <w:rPr>
          <w:i/>
          <w:iCs/>
        </w:rPr>
        <w:t xml:space="preserve">Agent Summary Statements </w:t>
      </w:r>
      <w:r w:rsidRPr="00BB64F9">
        <w:t xml:space="preserve">of the CDC/NIH publication, </w:t>
      </w:r>
      <w:hyperlink r:id="rId8" w:history="1">
        <w:r w:rsidRPr="00426A20">
          <w:rPr>
            <w:rStyle w:val="Hyperlink"/>
            <w:i/>
            <w:iCs/>
          </w:rPr>
          <w:t>Biosafety in Microbiological and Biomedical Laboratories</w:t>
        </w:r>
        <w:r w:rsidR="00750E05">
          <w:rPr>
            <w:rStyle w:val="Hyperlink"/>
            <w:i/>
            <w:iCs/>
          </w:rPr>
          <w:t xml:space="preserve"> (BMBL)</w:t>
        </w:r>
        <w:r w:rsidRPr="00426A20">
          <w:rPr>
            <w:rStyle w:val="Hyperlink"/>
            <w:i/>
            <w:iCs/>
          </w:rPr>
          <w:t xml:space="preserve">, </w:t>
        </w:r>
        <w:r w:rsidR="00426A20" w:rsidRPr="00426A20">
          <w:rPr>
            <w:rStyle w:val="Hyperlink"/>
            <w:i/>
            <w:iCs/>
          </w:rPr>
          <w:t>6</w:t>
        </w:r>
        <w:r w:rsidRPr="00426A20">
          <w:rPr>
            <w:rStyle w:val="Hyperlink"/>
            <w:i/>
            <w:iCs/>
            <w:vertAlign w:val="superscript"/>
          </w:rPr>
          <w:t>th</w:t>
        </w:r>
        <w:r w:rsidRPr="00426A20">
          <w:rPr>
            <w:rStyle w:val="Hyperlink"/>
            <w:i/>
            <w:iCs/>
          </w:rPr>
          <w:t xml:space="preserve"> ed</w:t>
        </w:r>
      </w:hyperlink>
      <w:r w:rsidRPr="00BB64F9">
        <w:rPr>
          <w:i/>
          <w:iCs/>
        </w:rPr>
        <w:t>.</w:t>
      </w:r>
    </w:p>
    <w:sectPr w:rsidR="00BB64F9" w:rsidRPr="00BB64F9" w:rsidSect="00DC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8C7"/>
    <w:multiLevelType w:val="hybridMultilevel"/>
    <w:tmpl w:val="08445BB4"/>
    <w:lvl w:ilvl="0" w:tplc="745ED2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1430C"/>
    <w:multiLevelType w:val="hybridMultilevel"/>
    <w:tmpl w:val="E4DC72A2"/>
    <w:lvl w:ilvl="0" w:tplc="4984C8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F9"/>
    <w:rsid w:val="0002604E"/>
    <w:rsid w:val="001D3507"/>
    <w:rsid w:val="00215871"/>
    <w:rsid w:val="00277B6A"/>
    <w:rsid w:val="00397B75"/>
    <w:rsid w:val="00426A20"/>
    <w:rsid w:val="006A6DE4"/>
    <w:rsid w:val="00750E05"/>
    <w:rsid w:val="008C6736"/>
    <w:rsid w:val="0099437D"/>
    <w:rsid w:val="00B24285"/>
    <w:rsid w:val="00BB64F9"/>
    <w:rsid w:val="00C35B5F"/>
    <w:rsid w:val="00CF7AE8"/>
    <w:rsid w:val="00DC0C00"/>
    <w:rsid w:val="00DD627C"/>
    <w:rsid w:val="00EB7A5E"/>
    <w:rsid w:val="00F163DE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D6CB"/>
  <w15:docId w15:val="{B0E4EFFA-CB0D-41DC-89F5-8AA023C0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00"/>
  </w:style>
  <w:style w:type="paragraph" w:styleId="Heading1">
    <w:name w:val="heading 1"/>
    <w:basedOn w:val="Normal"/>
    <w:next w:val="Normal"/>
    <w:link w:val="Heading1Char"/>
    <w:uiPriority w:val="9"/>
    <w:qFormat/>
    <w:rsid w:val="001D3507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6A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D3507"/>
    <w:rPr>
      <w:rFonts w:ascii="Arial" w:eastAsiaTheme="majorEastAsia" w:hAnsi="Arial" w:cstheme="majorBidi"/>
      <w:b/>
      <w:szCs w:val="32"/>
    </w:rPr>
  </w:style>
  <w:style w:type="character" w:styleId="Hyperlink">
    <w:name w:val="Hyperlink"/>
    <w:basedOn w:val="DefaultParagraphFont"/>
    <w:uiPriority w:val="99"/>
    <w:unhideWhenUsed/>
    <w:rsid w:val="00426A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A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s/BMBL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3" ma:contentTypeDescription="Create a new document." ma:contentTypeScope="" ma:versionID="e0253404731552b213a8bf73386038f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653612f13b7960e4ea2299ef7236ee2b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00F7B-06BB-46EC-A4C7-E404A80A3D61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2.xml><?xml version="1.0" encoding="utf-8"?>
<ds:datastoreItem xmlns:ds="http://schemas.openxmlformats.org/officeDocument/2006/customXml" ds:itemID="{B24EC712-CFD1-4E76-873B-16A90D88C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A30C9-4881-4DA9-9F0F-9B278943E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iu-ibc-appendix-b-risk-group-1</vt:lpstr>
    </vt:vector>
  </TitlesOfParts>
  <Company>Indiana University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iu-ibc-appendix-b-risk-group-1</dc:title>
  <dc:creator>Sarah Null</dc:creator>
  <cp:lastModifiedBy>Suvidha Bane</cp:lastModifiedBy>
  <cp:revision>2</cp:revision>
  <dcterms:created xsi:type="dcterms:W3CDTF">2021-04-06T11:02:00Z</dcterms:created>
  <dcterms:modified xsi:type="dcterms:W3CDTF">2021-04-06T11:02:00Z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