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345FB271" w:rsidR="002A2BB8" w:rsidRPr="00C532FF" w:rsidRDefault="00D057D1" w:rsidP="00C532FF">
      <w:pPr>
        <w:pStyle w:val="Heading1"/>
      </w:pPr>
      <w:r w:rsidRPr="00C532FF">
        <w:t xml:space="preserve">Salary </w:t>
      </w:r>
      <w:r w:rsidR="003A11C4" w:rsidRPr="00C532FF">
        <w:t>Cap</w:t>
      </w:r>
      <w:r w:rsidRPr="00C532FF">
        <w:t xml:space="preserve"> </w:t>
      </w:r>
      <w:r w:rsidR="009906E6" w:rsidRPr="00C532FF">
        <w:t xml:space="preserve">Determination </w:t>
      </w:r>
      <w:r w:rsidRPr="00C532FF">
        <w:t>for 10-Month Employees</w:t>
      </w:r>
    </w:p>
    <w:p w14:paraId="27CDB40C" w14:textId="13299B2F" w:rsidR="003A11C4" w:rsidRPr="00C815E4" w:rsidRDefault="003A11C4" w:rsidP="006366EA">
      <w:pPr>
        <w:pStyle w:val="Default"/>
        <w:spacing w:after="240"/>
        <w:rPr>
          <w:b/>
          <w:bCs/>
          <w:sz w:val="22"/>
          <w:szCs w:val="22"/>
        </w:rPr>
      </w:pPr>
      <w:r w:rsidRPr="00C815E4">
        <w:rPr>
          <w:b/>
          <w:bCs/>
          <w:sz w:val="22"/>
          <w:szCs w:val="22"/>
        </w:rPr>
        <w:t xml:space="preserve">These salary cap guidelines apply to any agency with a salary limitation requirement. </w:t>
      </w:r>
    </w:p>
    <w:p w14:paraId="60435AC0" w14:textId="2C1F3964" w:rsidR="003A11C4" w:rsidRPr="00C815E4" w:rsidRDefault="003A11C4" w:rsidP="006366EA">
      <w:pPr>
        <w:pStyle w:val="Default"/>
        <w:spacing w:after="240"/>
        <w:rPr>
          <w:b/>
          <w:bCs/>
          <w:sz w:val="22"/>
          <w:szCs w:val="22"/>
        </w:rPr>
      </w:pPr>
      <w:r w:rsidRPr="00C815E4">
        <w:rPr>
          <w:b/>
          <w:bCs/>
          <w:sz w:val="22"/>
          <w:szCs w:val="22"/>
        </w:rPr>
        <w:t>Appointment</w:t>
      </w:r>
    </w:p>
    <w:p w14:paraId="41DEC663" w14:textId="44E97DF8" w:rsidR="003A11C4" w:rsidRPr="00C815E4" w:rsidRDefault="003A11C4" w:rsidP="003A11C4">
      <w:pPr>
        <w:pStyle w:val="Default"/>
        <w:spacing w:after="240"/>
        <w:ind w:firstLine="720"/>
        <w:rPr>
          <w:b/>
          <w:bCs/>
          <w:sz w:val="22"/>
          <w:szCs w:val="22"/>
        </w:rPr>
      </w:pPr>
      <w:r w:rsidRPr="00C815E4">
        <w:rPr>
          <w:b/>
          <w:bCs/>
          <w:sz w:val="22"/>
          <w:szCs w:val="22"/>
        </w:rPr>
        <w:t>10-Month (Academic)</w:t>
      </w:r>
    </w:p>
    <w:p w14:paraId="220C4916" w14:textId="022FFAE7" w:rsidR="00F27407" w:rsidRPr="00C815E4" w:rsidRDefault="00D057D1" w:rsidP="006366EA">
      <w:pPr>
        <w:pStyle w:val="Default"/>
        <w:spacing w:after="240"/>
        <w:rPr>
          <w:b/>
          <w:bCs/>
          <w:sz w:val="22"/>
          <w:szCs w:val="22"/>
        </w:rPr>
      </w:pPr>
      <w:r w:rsidRPr="00C815E4">
        <w:rPr>
          <w:b/>
          <w:bCs/>
          <w:sz w:val="22"/>
          <w:szCs w:val="22"/>
        </w:rPr>
        <w:t>Salary Limitation</w:t>
      </w:r>
      <w:r w:rsidR="003A11C4" w:rsidRPr="00C815E4">
        <w:rPr>
          <w:b/>
          <w:bCs/>
          <w:sz w:val="22"/>
          <w:szCs w:val="22"/>
        </w:rPr>
        <w:t xml:space="preserve"> </w:t>
      </w:r>
      <w:r w:rsidRPr="00C815E4">
        <w:rPr>
          <w:b/>
          <w:bCs/>
          <w:sz w:val="22"/>
          <w:szCs w:val="22"/>
        </w:rPr>
        <w:t>(10-m</w:t>
      </w:r>
      <w:r w:rsidR="003116D5" w:rsidRPr="00C815E4">
        <w:rPr>
          <w:b/>
          <w:bCs/>
          <w:sz w:val="22"/>
          <w:szCs w:val="22"/>
        </w:rPr>
        <w:t>onth)</w:t>
      </w:r>
    </w:p>
    <w:p w14:paraId="52F3556B" w14:textId="43FAE1EF" w:rsidR="00F27407" w:rsidRPr="00C815E4" w:rsidRDefault="003A11C4" w:rsidP="003A11C4">
      <w:pPr>
        <w:pStyle w:val="Default"/>
        <w:spacing w:after="240"/>
        <w:ind w:firstLine="720"/>
        <w:rPr>
          <w:b/>
          <w:bCs/>
          <w:sz w:val="22"/>
          <w:szCs w:val="22"/>
        </w:rPr>
      </w:pPr>
      <w:r w:rsidRPr="00C815E4">
        <w:rPr>
          <w:b/>
          <w:bCs/>
          <w:sz w:val="22"/>
          <w:szCs w:val="22"/>
        </w:rPr>
        <w:t>HHS</w:t>
      </w:r>
    </w:p>
    <w:p w14:paraId="3496B15C" w14:textId="6AAB948D" w:rsidR="009906E6" w:rsidRPr="00C815E4" w:rsidRDefault="009906E6" w:rsidP="009906E6">
      <w:pPr>
        <w:spacing w:after="240"/>
        <w:ind w:left="720"/>
      </w:pPr>
      <w:r w:rsidRPr="00C815E4">
        <w:t xml:space="preserve">For awards subject to the NIH Salary Limitation, at Indiana University the Academic 10-Pay Salary Limitation Rate is 75% of the announced NIH Salary Limitation Rate. </w:t>
      </w:r>
      <w:r w:rsidR="005F26C0" w:rsidRPr="005F26C0">
        <w:t>(e.g. Effective January 1, 202</w:t>
      </w:r>
      <w:r w:rsidR="00405CA1">
        <w:t>4</w:t>
      </w:r>
      <w:r w:rsidR="005F26C0" w:rsidRPr="005F26C0">
        <w:t>, $2</w:t>
      </w:r>
      <w:r w:rsidR="001A728E">
        <w:t>21,900</w:t>
      </w:r>
      <w:r w:rsidR="005F26C0" w:rsidRPr="005F26C0">
        <w:t>.00 × 75% = $</w:t>
      </w:r>
      <w:r w:rsidR="001A728E">
        <w:t>166,425</w:t>
      </w:r>
      <w:r w:rsidR="005F26C0" w:rsidRPr="005F26C0">
        <w:t>.00)</w:t>
      </w:r>
    </w:p>
    <w:p w14:paraId="51CA90F6" w14:textId="57262D7C" w:rsidR="0090143D" w:rsidRDefault="003A11C4" w:rsidP="001F4789">
      <w:pPr>
        <w:pStyle w:val="ListParagraph"/>
        <w:numPr>
          <w:ilvl w:val="0"/>
          <w:numId w:val="7"/>
        </w:numPr>
        <w:spacing w:after="220"/>
        <w:contextualSpacing w:val="0"/>
      </w:pPr>
      <w:r w:rsidRPr="0090143D">
        <w:t>NIH</w:t>
      </w:r>
      <w:r w:rsidRPr="00C815E4">
        <w:t xml:space="preserve"> - </w:t>
      </w:r>
      <w:r w:rsidR="000247D2" w:rsidRPr="00C815E4">
        <w:t xml:space="preserve">January </w:t>
      </w:r>
      <w:r w:rsidR="005F26C0">
        <w:t>1</w:t>
      </w:r>
      <w:r w:rsidR="000247D2" w:rsidRPr="00C815E4">
        <w:t>, 202</w:t>
      </w:r>
      <w:r w:rsidR="00405CA1">
        <w:t>4</w:t>
      </w:r>
      <w:r w:rsidR="000247D2" w:rsidRPr="00C815E4">
        <w:t xml:space="preserve"> through </w:t>
      </w:r>
      <w:r w:rsidR="000247D2" w:rsidRPr="0090143D">
        <w:t>September 30, 202</w:t>
      </w:r>
      <w:r w:rsidR="00405CA1">
        <w:t>4</w:t>
      </w:r>
      <w:r w:rsidR="000247D2" w:rsidRPr="00C815E4">
        <w:t xml:space="preserve"> </w:t>
      </w:r>
      <w:r w:rsidR="003116D5" w:rsidRPr="00C815E4">
        <w:t xml:space="preserve">(Executive Level II) </w:t>
      </w:r>
      <w:r w:rsidR="003116D5" w:rsidRPr="00C815E4">
        <w:tab/>
      </w:r>
      <w:r w:rsidR="005F26C0" w:rsidRPr="005F26C0">
        <w:t>$1</w:t>
      </w:r>
      <w:r w:rsidR="001A728E">
        <w:t>66,425</w:t>
      </w:r>
      <w:r w:rsidR="005F26C0" w:rsidRPr="005F26C0">
        <w:t>.00</w:t>
      </w:r>
    </w:p>
    <w:p w14:paraId="4F4FBD24" w14:textId="5ACBA6CB" w:rsidR="003A11C4" w:rsidRPr="0090143D" w:rsidRDefault="003A11C4" w:rsidP="0090143D">
      <w:pPr>
        <w:pStyle w:val="ListParagraph"/>
        <w:numPr>
          <w:ilvl w:val="0"/>
          <w:numId w:val="7"/>
        </w:numPr>
        <w:spacing w:before="200" w:after="200"/>
      </w:pPr>
      <w:r w:rsidRPr="0090143D">
        <w:rPr>
          <w:bCs/>
        </w:rPr>
        <w:t xml:space="preserve">This </w:t>
      </w:r>
      <w:r w:rsidR="00310159" w:rsidRPr="0090143D">
        <w:rPr>
          <w:bCs/>
        </w:rPr>
        <w:t>rate</w:t>
      </w:r>
      <w:r w:rsidRPr="0090143D">
        <w:rPr>
          <w:bCs/>
        </w:rPr>
        <w:t xml:space="preserve"> applies to all Health and Human Services (HHS) agencies. A listing of HHS agencies can be found at the following</w:t>
      </w:r>
    </w:p>
    <w:p w14:paraId="76AF246F" w14:textId="488BBBED" w:rsidR="00B13230" w:rsidRPr="001E3FD2" w:rsidRDefault="003A11C4" w:rsidP="001F4789">
      <w:pPr>
        <w:pStyle w:val="ListParagraph"/>
        <w:spacing w:after="280"/>
        <w:ind w:left="1440"/>
        <w:contextualSpacing w:val="0"/>
        <w:rPr>
          <w:bCs/>
          <w:color w:val="0563C1" w:themeColor="hyperlink"/>
          <w:u w:val="single"/>
        </w:rPr>
      </w:pPr>
      <w:r w:rsidRPr="00C815E4">
        <w:rPr>
          <w:bCs/>
        </w:rPr>
        <w:t xml:space="preserve">link: </w:t>
      </w:r>
      <w:hyperlink r:id="rId11" w:tooltip="U.S. Department of Health and Human Services Listing of Agencies and Offices" w:history="1">
        <w:r w:rsidR="00FA26F8" w:rsidRPr="00BA5BE4">
          <w:rPr>
            <w:rStyle w:val="Hyperlink"/>
            <w:bCs/>
          </w:rPr>
          <w:t>https://www.hhs.gov/about/agencies/hhs-agencies-and-offices/index.html</w:t>
        </w:r>
      </w:hyperlink>
    </w:p>
    <w:p w14:paraId="204604F2" w14:textId="3961343A" w:rsidR="003A11C4" w:rsidRPr="00C815E4" w:rsidRDefault="003A11C4" w:rsidP="003A11C4">
      <w:pPr>
        <w:pStyle w:val="Default"/>
        <w:spacing w:after="240"/>
        <w:ind w:firstLine="720"/>
        <w:rPr>
          <w:b/>
          <w:sz w:val="22"/>
          <w:szCs w:val="22"/>
        </w:rPr>
      </w:pPr>
      <w:r w:rsidRPr="00C815E4">
        <w:rPr>
          <w:b/>
          <w:sz w:val="22"/>
          <w:szCs w:val="22"/>
        </w:rPr>
        <w:t>Other Agencies</w:t>
      </w:r>
    </w:p>
    <w:p w14:paraId="5C37CA73" w14:textId="6B1CCA7F" w:rsidR="003A11C4" w:rsidRPr="00C815E4" w:rsidRDefault="003A11C4" w:rsidP="003A11C4">
      <w:pPr>
        <w:pStyle w:val="Default"/>
        <w:spacing w:after="240"/>
        <w:ind w:firstLine="720"/>
        <w:rPr>
          <w:bCs/>
          <w:sz w:val="22"/>
          <w:szCs w:val="22"/>
        </w:rPr>
      </w:pPr>
      <w:r w:rsidRPr="00C815E4">
        <w:rPr>
          <w:bCs/>
          <w:sz w:val="22"/>
          <w:szCs w:val="22"/>
        </w:rPr>
        <w:t xml:space="preserve">Reference the Award agreement for the </w:t>
      </w:r>
      <w:r w:rsidR="00B901AD" w:rsidRPr="00C815E4">
        <w:rPr>
          <w:bCs/>
          <w:sz w:val="22"/>
          <w:szCs w:val="22"/>
        </w:rPr>
        <w:t xml:space="preserve">corresponding </w:t>
      </w:r>
      <w:r w:rsidRPr="00C815E4">
        <w:rPr>
          <w:bCs/>
          <w:sz w:val="22"/>
          <w:szCs w:val="22"/>
        </w:rPr>
        <w:t>limitation amount</w:t>
      </w:r>
    </w:p>
    <w:p w14:paraId="434D9451" w14:textId="1322E39F" w:rsidR="00B13230" w:rsidRPr="00C815E4" w:rsidRDefault="00B13230" w:rsidP="00DE0CE9">
      <w:pPr>
        <w:spacing w:after="240"/>
        <w:ind w:left="3600" w:hanging="3600"/>
        <w:rPr>
          <w:b/>
          <w:bCs/>
        </w:rPr>
      </w:pPr>
      <w:r w:rsidRPr="00C815E4">
        <w:rPr>
          <w:b/>
          <w:bCs/>
        </w:rPr>
        <w:t>Institutional Base Salary</w:t>
      </w:r>
    </w:p>
    <w:p w14:paraId="2110D7A0" w14:textId="0E106922" w:rsidR="00B13230" w:rsidRPr="00C815E4" w:rsidRDefault="00B13230" w:rsidP="00B13230">
      <w:pPr>
        <w:pStyle w:val="Default"/>
        <w:spacing w:after="240"/>
        <w:ind w:firstLine="720"/>
        <w:rPr>
          <w:bCs/>
          <w:sz w:val="22"/>
          <w:szCs w:val="22"/>
        </w:rPr>
      </w:pPr>
      <w:bookmarkStart w:id="0" w:name="_Hlk86987768"/>
      <w:r w:rsidRPr="00C815E4">
        <w:rPr>
          <w:bCs/>
          <w:sz w:val="22"/>
          <w:szCs w:val="22"/>
        </w:rPr>
        <w:t>The current Institutional Base Salary (IBS) for the employee</w:t>
      </w:r>
    </w:p>
    <w:bookmarkEnd w:id="0"/>
    <w:p w14:paraId="55E5BE55" w14:textId="24A40481" w:rsidR="00A12AC7" w:rsidRPr="00C815E4" w:rsidRDefault="00A12AC7" w:rsidP="00DE0CE9">
      <w:pPr>
        <w:spacing w:after="240"/>
        <w:ind w:left="3600" w:hanging="3600"/>
        <w:rPr>
          <w:b/>
          <w:bCs/>
        </w:rPr>
      </w:pPr>
      <w:r w:rsidRPr="00C815E4">
        <w:rPr>
          <w:b/>
          <w:bCs/>
        </w:rPr>
        <w:t>Institutional Base Salary Percent</w:t>
      </w:r>
    </w:p>
    <w:p w14:paraId="20804DF1" w14:textId="45C412C2" w:rsidR="00A12AC7" w:rsidRPr="00C815E4" w:rsidRDefault="00A12AC7" w:rsidP="00A12AC7">
      <w:pPr>
        <w:pStyle w:val="Default"/>
        <w:spacing w:after="240"/>
        <w:ind w:firstLine="720"/>
        <w:rPr>
          <w:bCs/>
          <w:sz w:val="22"/>
          <w:szCs w:val="22"/>
        </w:rPr>
      </w:pPr>
      <w:bookmarkStart w:id="1" w:name="_Hlk86987794"/>
      <w:r w:rsidRPr="00C815E4">
        <w:rPr>
          <w:bCs/>
          <w:sz w:val="22"/>
          <w:szCs w:val="22"/>
        </w:rPr>
        <w:t xml:space="preserve">The percent </w:t>
      </w:r>
      <w:r w:rsidR="00B13230" w:rsidRPr="00C815E4">
        <w:rPr>
          <w:bCs/>
          <w:sz w:val="22"/>
          <w:szCs w:val="22"/>
        </w:rPr>
        <w:t xml:space="preserve">of IBS </w:t>
      </w:r>
      <w:r w:rsidRPr="00C815E4">
        <w:rPr>
          <w:bCs/>
          <w:sz w:val="22"/>
          <w:szCs w:val="22"/>
        </w:rPr>
        <w:t xml:space="preserve">effort (Direct Salary + Cost Share) </w:t>
      </w:r>
      <w:r w:rsidR="009906E6" w:rsidRPr="00C815E4">
        <w:rPr>
          <w:bCs/>
          <w:sz w:val="22"/>
          <w:szCs w:val="22"/>
        </w:rPr>
        <w:t>to be allocated to the award</w:t>
      </w:r>
    </w:p>
    <w:bookmarkEnd w:id="1"/>
    <w:p w14:paraId="1484F1C1" w14:textId="1EE2BCAF" w:rsidR="003A11C4" w:rsidRPr="00C815E4" w:rsidRDefault="00B901AD" w:rsidP="00DE0CE9">
      <w:pPr>
        <w:spacing w:after="240"/>
        <w:ind w:left="3600" w:hanging="3600"/>
        <w:rPr>
          <w:b/>
          <w:bCs/>
        </w:rPr>
      </w:pPr>
      <w:r w:rsidRPr="00C815E4">
        <w:rPr>
          <w:b/>
          <w:bCs/>
        </w:rPr>
        <w:t>The Percent of IBS Salary Allowable</w:t>
      </w:r>
    </w:p>
    <w:p w14:paraId="1357024C" w14:textId="4AC9A97A" w:rsidR="00B901AD" w:rsidRPr="00C815E4" w:rsidRDefault="00B901AD" w:rsidP="008D565A">
      <w:pPr>
        <w:spacing w:after="240"/>
        <w:ind w:firstLine="720"/>
      </w:pPr>
      <w:r w:rsidRPr="00C815E4">
        <w:t>Allowable Percent = Salary Limitation / Institutional Base Salary</w:t>
      </w:r>
    </w:p>
    <w:p w14:paraId="7A85E9DF" w14:textId="308BC8DD" w:rsidR="00B901AD" w:rsidRPr="00C815E4" w:rsidRDefault="00B901AD" w:rsidP="00B901AD">
      <w:pPr>
        <w:spacing w:after="240"/>
        <w:rPr>
          <w:b/>
          <w:bCs/>
        </w:rPr>
      </w:pPr>
      <w:r w:rsidRPr="00C815E4">
        <w:rPr>
          <w:b/>
          <w:bCs/>
        </w:rPr>
        <w:t>Allowable Amount</w:t>
      </w:r>
    </w:p>
    <w:p w14:paraId="720ABB28" w14:textId="565F980D" w:rsidR="00DA10FF" w:rsidRDefault="00B901AD" w:rsidP="00DA10FF">
      <w:pPr>
        <w:spacing w:after="240"/>
        <w:rPr>
          <w:b/>
          <w:bCs/>
        </w:rPr>
      </w:pPr>
      <w:bookmarkStart w:id="2" w:name="_Hlk86987872"/>
      <w:r w:rsidRPr="00C815E4">
        <w:rPr>
          <w:b/>
          <w:bCs/>
        </w:rPr>
        <w:t xml:space="preserve">The total </w:t>
      </w:r>
      <w:r w:rsidR="00F34F89" w:rsidRPr="00C815E4">
        <w:rPr>
          <w:b/>
          <w:bCs/>
        </w:rPr>
        <w:t>effort percentage</w:t>
      </w:r>
      <w:r w:rsidRPr="00C815E4">
        <w:rPr>
          <w:b/>
          <w:bCs/>
        </w:rPr>
        <w:t xml:space="preserve"> charged to an award account (Direct Salary + Cost Share) is multiplied by the Allowable Percent to determine the allowable amount that can be to be applied to the award. The remainder is unallowable and must be applied to an INSxx subaccount.</w:t>
      </w:r>
      <w:bookmarkEnd w:id="2"/>
      <w:r w:rsidR="00DA10FF">
        <w:rPr>
          <w:b/>
          <w:bCs/>
        </w:rPr>
        <w:br w:type="page"/>
      </w:r>
    </w:p>
    <w:p w14:paraId="0A299CD8" w14:textId="3DB5E7C5" w:rsidR="00A10D18" w:rsidRDefault="00A10D18" w:rsidP="001F4789">
      <w:pPr>
        <w:pStyle w:val="Heading2"/>
        <w:ind w:left="72"/>
      </w:pPr>
      <w:r w:rsidRPr="00C815E4">
        <w:lastRenderedPageBreak/>
        <w:t xml:space="preserve">Calculation </w:t>
      </w:r>
      <w:r w:rsidR="009906E6" w:rsidRPr="00C815E4">
        <w:t xml:space="preserve">– Determination </w:t>
      </w:r>
      <w:r w:rsidRPr="00C815E4">
        <w:t xml:space="preserve">of Salary </w:t>
      </w:r>
      <w:r w:rsidR="001353BB" w:rsidRPr="00C815E4">
        <w:t>Cap</w:t>
      </w:r>
      <w:r w:rsidR="00D057D1" w:rsidRPr="00C815E4">
        <w:t xml:space="preserve"> – 10-</w:t>
      </w:r>
      <w:r w:rsidRPr="00C815E4">
        <w:t>Month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530"/>
        <w:gridCol w:w="920"/>
      </w:tblGrid>
      <w:tr w:rsidR="00734C95" w:rsidRPr="00734C95" w14:paraId="5652E2F2" w14:textId="77777777" w:rsidTr="005E1B23">
        <w:trPr>
          <w:trHeight w:val="360"/>
        </w:trPr>
        <w:tc>
          <w:tcPr>
            <w:tcW w:w="4050" w:type="dxa"/>
          </w:tcPr>
          <w:p w14:paraId="508A207E" w14:textId="77F662E4" w:rsidR="00734C95" w:rsidRPr="00734C95" w:rsidRDefault="00734C95" w:rsidP="00734C95">
            <w:r w:rsidRPr="00C815E4">
              <w:rPr>
                <w:rFonts w:ascii="Calibri" w:hAnsi="Calibri" w:cs="Calibri"/>
                <w:b/>
                <w:bCs/>
                <w:color w:val="000000"/>
              </w:rPr>
              <w:t>Appointment</w:t>
            </w:r>
          </w:p>
        </w:tc>
        <w:tc>
          <w:tcPr>
            <w:tcW w:w="1530" w:type="dxa"/>
          </w:tcPr>
          <w:p w14:paraId="5E0D6607" w14:textId="423CB49F" w:rsidR="00734C95" w:rsidRPr="00734C95" w:rsidRDefault="00734C95" w:rsidP="00734C95">
            <w:r w:rsidRPr="00C815E4">
              <w:rPr>
                <w:rFonts w:ascii="Calibri" w:hAnsi="Calibri" w:cs="Calibri"/>
                <w:b/>
                <w:bCs/>
                <w:color w:val="000000"/>
              </w:rPr>
              <w:t>Academic</w:t>
            </w:r>
          </w:p>
        </w:tc>
        <w:tc>
          <w:tcPr>
            <w:tcW w:w="920" w:type="dxa"/>
          </w:tcPr>
          <w:p w14:paraId="430FF5BB" w14:textId="77777777" w:rsidR="00734C95" w:rsidRPr="00734C95" w:rsidRDefault="00734C95" w:rsidP="00734C95"/>
        </w:tc>
      </w:tr>
      <w:tr w:rsidR="00734C95" w:rsidRPr="00734C95" w14:paraId="2F24E33F" w14:textId="77777777" w:rsidTr="00382F09">
        <w:trPr>
          <w:trHeight w:val="1260"/>
        </w:trPr>
        <w:tc>
          <w:tcPr>
            <w:tcW w:w="4050" w:type="dxa"/>
          </w:tcPr>
          <w:p w14:paraId="5798C15E" w14:textId="41F66389" w:rsidR="00734C95" w:rsidRPr="00734C95" w:rsidRDefault="00734C95" w:rsidP="00382F09">
            <w:pPr>
              <w:spacing w:before="360"/>
            </w:pPr>
            <w:r w:rsidRPr="00C815E4">
              <w:rPr>
                <w:rFonts w:ascii="Calibri" w:hAnsi="Calibri" w:cs="Calibri"/>
                <w:color w:val="000000"/>
              </w:rPr>
              <w:t>Salary Limitation</w:t>
            </w:r>
            <w:r w:rsidRPr="00745F56">
              <w:rPr>
                <w:rStyle w:val="EndnoteReference"/>
                <w:rFonts w:ascii="Calibri" w:hAnsi="Calibri" w:cs="Calibri"/>
                <w:color w:val="000000"/>
              </w:rPr>
              <w:endnoteReference w:customMarkFollows="1" w:id="1"/>
              <w:sym w:font="Symbol" w:char="F02A"/>
            </w:r>
          </w:p>
        </w:tc>
        <w:tc>
          <w:tcPr>
            <w:tcW w:w="1530" w:type="dxa"/>
          </w:tcPr>
          <w:p w14:paraId="1A3F18D4" w14:textId="547A8F8D" w:rsidR="00734C95" w:rsidRPr="00734C95" w:rsidRDefault="00734C95" w:rsidP="00382F09">
            <w:pPr>
              <w:spacing w:before="360"/>
              <w:ind w:right="144"/>
              <w:jc w:val="right"/>
            </w:pPr>
            <w:r w:rsidRPr="00C815E4">
              <w:rPr>
                <w:rFonts w:ascii="Calibri" w:hAnsi="Calibri" w:cs="Calibri"/>
                <w:color w:val="000000"/>
              </w:rPr>
              <w:t xml:space="preserve">$ </w:t>
            </w:r>
            <w:r w:rsidR="001A5D64" w:rsidRPr="001A5D64">
              <w:rPr>
                <w:rFonts w:ascii="Calibri" w:hAnsi="Calibri" w:cs="Calibri"/>
                <w:color w:val="000000"/>
              </w:rPr>
              <w:t>1</w:t>
            </w:r>
            <w:r w:rsidR="001A728E">
              <w:rPr>
                <w:rFonts w:ascii="Calibri" w:hAnsi="Calibri" w:cs="Calibri"/>
                <w:color w:val="000000"/>
              </w:rPr>
              <w:t>66,425</w:t>
            </w:r>
            <w:r w:rsidR="001A5D64">
              <w:rPr>
                <w:rFonts w:ascii="Calibri" w:hAnsi="Calibri" w:cs="Calibri"/>
                <w:color w:val="000000"/>
              </w:rPr>
              <w:t>.00</w:t>
            </w:r>
          </w:p>
        </w:tc>
        <w:tc>
          <w:tcPr>
            <w:tcW w:w="920" w:type="dxa"/>
          </w:tcPr>
          <w:p w14:paraId="01A84327" w14:textId="77777777" w:rsidR="00734C95" w:rsidRPr="00734C95" w:rsidRDefault="00734C95" w:rsidP="00382F09">
            <w:pPr>
              <w:spacing w:before="360"/>
            </w:pPr>
          </w:p>
        </w:tc>
      </w:tr>
      <w:tr w:rsidR="00734C95" w:rsidRPr="00734C95" w14:paraId="6800F389" w14:textId="77777777" w:rsidTr="005E1B23">
        <w:trPr>
          <w:trHeight w:val="900"/>
        </w:trPr>
        <w:tc>
          <w:tcPr>
            <w:tcW w:w="4050" w:type="dxa"/>
          </w:tcPr>
          <w:p w14:paraId="352EA495" w14:textId="7DA7629C" w:rsidR="00734C95" w:rsidRPr="00734C95" w:rsidRDefault="00734C95" w:rsidP="00734C95">
            <w:r w:rsidRPr="00C815E4">
              <w:rPr>
                <w:rFonts w:ascii="Calibri" w:hAnsi="Calibri" w:cs="Calibri"/>
                <w:color w:val="000000"/>
              </w:rPr>
              <w:t>Institutional Base Salary</w:t>
            </w:r>
          </w:p>
        </w:tc>
        <w:tc>
          <w:tcPr>
            <w:tcW w:w="1530" w:type="dxa"/>
          </w:tcPr>
          <w:p w14:paraId="596CAC0D" w14:textId="7B4DC2B6" w:rsidR="00734C95" w:rsidRPr="00734C95" w:rsidRDefault="00734C95" w:rsidP="005E1B23">
            <w:pPr>
              <w:ind w:right="144"/>
              <w:jc w:val="right"/>
            </w:pPr>
            <w:r w:rsidRPr="00C815E4">
              <w:rPr>
                <w:rFonts w:ascii="Calibri" w:hAnsi="Calibri" w:cs="Calibri"/>
                <w:color w:val="000000"/>
              </w:rPr>
              <w:t>$ 2</w:t>
            </w:r>
            <w:r w:rsidR="00F870F0">
              <w:rPr>
                <w:rFonts w:ascii="Calibri" w:hAnsi="Calibri" w:cs="Calibri"/>
                <w:color w:val="000000"/>
              </w:rPr>
              <w:t>0</w:t>
            </w:r>
            <w:r w:rsidRPr="00C815E4">
              <w:rPr>
                <w:rFonts w:ascii="Calibri" w:hAnsi="Calibri" w:cs="Calibri"/>
                <w:color w:val="000000"/>
              </w:rPr>
              <w:t xml:space="preserve">0,000.00 </w:t>
            </w:r>
          </w:p>
        </w:tc>
        <w:tc>
          <w:tcPr>
            <w:tcW w:w="920" w:type="dxa"/>
          </w:tcPr>
          <w:p w14:paraId="39114E98" w14:textId="77777777" w:rsidR="00734C95" w:rsidRPr="00734C95" w:rsidRDefault="00734C95" w:rsidP="00734C95"/>
        </w:tc>
      </w:tr>
      <w:tr w:rsidR="00734C95" w:rsidRPr="00734C95" w14:paraId="065D809B" w14:textId="77777777" w:rsidTr="005E1B23">
        <w:trPr>
          <w:trHeight w:val="810"/>
        </w:trPr>
        <w:tc>
          <w:tcPr>
            <w:tcW w:w="4050" w:type="dxa"/>
          </w:tcPr>
          <w:p w14:paraId="078BB234" w14:textId="346E9786" w:rsidR="00734C95" w:rsidRPr="00734C95" w:rsidRDefault="00734C95" w:rsidP="00734C95">
            <w:r w:rsidRPr="00C815E4">
              <w:rPr>
                <w:rFonts w:ascii="Calibri" w:hAnsi="Calibri" w:cs="Calibri"/>
                <w:color w:val="000000"/>
              </w:rPr>
              <w:t>Total Effort Percentage on Project</w:t>
            </w:r>
          </w:p>
        </w:tc>
        <w:tc>
          <w:tcPr>
            <w:tcW w:w="1530" w:type="dxa"/>
          </w:tcPr>
          <w:p w14:paraId="154029CB" w14:textId="11B7BFB5" w:rsidR="00734C95" w:rsidRPr="00734C95" w:rsidRDefault="00734C95" w:rsidP="005E1B23">
            <w:pPr>
              <w:ind w:right="144"/>
              <w:jc w:val="right"/>
            </w:pPr>
            <w:r w:rsidRPr="00C815E4">
              <w:rPr>
                <w:rFonts w:ascii="Calibri" w:hAnsi="Calibri" w:cs="Calibri"/>
                <w:color w:val="000000"/>
              </w:rPr>
              <w:t>50%</w:t>
            </w:r>
          </w:p>
        </w:tc>
        <w:tc>
          <w:tcPr>
            <w:tcW w:w="920" w:type="dxa"/>
          </w:tcPr>
          <w:p w14:paraId="59900D5D" w14:textId="77777777" w:rsidR="00734C95" w:rsidRPr="00734C95" w:rsidRDefault="00734C95" w:rsidP="00734C95"/>
        </w:tc>
      </w:tr>
      <w:tr w:rsidR="00734C95" w:rsidRPr="00734C95" w14:paraId="63439C5C" w14:textId="77777777" w:rsidTr="00382F09">
        <w:trPr>
          <w:trHeight w:val="720"/>
        </w:trPr>
        <w:tc>
          <w:tcPr>
            <w:tcW w:w="4050" w:type="dxa"/>
          </w:tcPr>
          <w:p w14:paraId="4C1B694A" w14:textId="514235EE" w:rsidR="00734C95" w:rsidRPr="00734C95" w:rsidRDefault="00734C95" w:rsidP="00734C95">
            <w:r w:rsidRPr="00C815E4">
              <w:rPr>
                <w:rFonts w:ascii="Calibri" w:hAnsi="Calibri" w:cs="Calibri"/>
                <w:color w:val="000000"/>
              </w:rPr>
              <w:t>Allowable Percent</w:t>
            </w:r>
          </w:p>
        </w:tc>
        <w:tc>
          <w:tcPr>
            <w:tcW w:w="1530" w:type="dxa"/>
          </w:tcPr>
          <w:p w14:paraId="52A31173" w14:textId="4282ED7D" w:rsidR="00734C95" w:rsidRPr="00734C95" w:rsidRDefault="00F870F0" w:rsidP="005E1B23">
            <w:pPr>
              <w:ind w:right="144"/>
              <w:jc w:val="right"/>
            </w:pPr>
            <w:r>
              <w:rPr>
                <w:rFonts w:ascii="Calibri" w:hAnsi="Calibri" w:cs="Calibri"/>
                <w:color w:val="000000"/>
              </w:rPr>
              <w:t>41.61</w:t>
            </w:r>
            <w:r w:rsidR="00734C95" w:rsidRPr="00C815E4">
              <w:rPr>
                <w:rFonts w:ascii="Calibri" w:hAnsi="Calibri" w:cs="Calibri"/>
                <w:color w:val="000000"/>
              </w:rPr>
              <w:t>%</w:t>
            </w:r>
          </w:p>
        </w:tc>
        <w:tc>
          <w:tcPr>
            <w:tcW w:w="920" w:type="dxa"/>
          </w:tcPr>
          <w:p w14:paraId="54E15340" w14:textId="77777777" w:rsidR="00734C95" w:rsidRPr="00734C95" w:rsidRDefault="00734C95" w:rsidP="00734C95"/>
        </w:tc>
      </w:tr>
      <w:tr w:rsidR="00734C95" w:rsidRPr="00734C95" w14:paraId="0CE4AE83" w14:textId="77777777" w:rsidTr="005E1B23">
        <w:trPr>
          <w:trHeight w:val="450"/>
        </w:trPr>
        <w:tc>
          <w:tcPr>
            <w:tcW w:w="4050" w:type="dxa"/>
            <w:vAlign w:val="bottom"/>
          </w:tcPr>
          <w:p w14:paraId="33D254A8" w14:textId="77777777" w:rsidR="00734C95" w:rsidRPr="00734C95" w:rsidRDefault="00734C95" w:rsidP="00734C95"/>
        </w:tc>
        <w:tc>
          <w:tcPr>
            <w:tcW w:w="1530" w:type="dxa"/>
          </w:tcPr>
          <w:p w14:paraId="270685B4" w14:textId="68C608A2" w:rsidR="00734C95" w:rsidRPr="00ED314E" w:rsidRDefault="00734C95" w:rsidP="00ED314E">
            <w:pPr>
              <w:rPr>
                <w:rFonts w:ascii="Calibri" w:hAnsi="Calibri" w:cs="Calibri"/>
                <w:b/>
                <w:bCs/>
                <w:color w:val="000000"/>
              </w:rPr>
            </w:pPr>
            <w:r w:rsidRPr="00C815E4">
              <w:rPr>
                <w:rFonts w:ascii="Calibri" w:hAnsi="Calibri" w:cs="Calibri"/>
                <w:b/>
                <w:bCs/>
                <w:color w:val="000000"/>
              </w:rPr>
              <w:t>Dollars</w:t>
            </w:r>
          </w:p>
        </w:tc>
        <w:tc>
          <w:tcPr>
            <w:tcW w:w="920" w:type="dxa"/>
          </w:tcPr>
          <w:p w14:paraId="4044079B" w14:textId="10462205" w:rsidR="00734C95" w:rsidRPr="00734C95" w:rsidRDefault="00734C95" w:rsidP="00ED314E">
            <w:pPr>
              <w:jc w:val="center"/>
            </w:pPr>
            <w:r w:rsidRPr="00C815E4">
              <w:rPr>
                <w:rFonts w:ascii="Calibri" w:hAnsi="Calibri" w:cs="Calibri"/>
                <w:b/>
                <w:bCs/>
                <w:color w:val="000000"/>
              </w:rPr>
              <w:t>Percent</w:t>
            </w:r>
          </w:p>
        </w:tc>
      </w:tr>
      <w:tr w:rsidR="00734C95" w:rsidRPr="00734C95" w14:paraId="3E65E00C" w14:textId="77777777" w:rsidTr="00382F09">
        <w:trPr>
          <w:trHeight w:val="720"/>
        </w:trPr>
        <w:tc>
          <w:tcPr>
            <w:tcW w:w="4050" w:type="dxa"/>
          </w:tcPr>
          <w:p w14:paraId="44D939DA" w14:textId="6D93D442" w:rsidR="00734C95" w:rsidRPr="00734C95" w:rsidRDefault="00734C95" w:rsidP="00734C95">
            <w:r w:rsidRPr="00C815E4">
              <w:rPr>
                <w:rFonts w:ascii="Calibri" w:hAnsi="Calibri" w:cs="Calibri"/>
                <w:color w:val="000000"/>
              </w:rPr>
              <w:t>Direct Salary + Cost Share / Effort Percent</w:t>
            </w:r>
          </w:p>
        </w:tc>
        <w:tc>
          <w:tcPr>
            <w:tcW w:w="1530" w:type="dxa"/>
          </w:tcPr>
          <w:p w14:paraId="5C8D352A" w14:textId="037A6FC8" w:rsidR="00734C95" w:rsidRPr="00734C95" w:rsidRDefault="001A5D64" w:rsidP="005E1B23">
            <w:pPr>
              <w:ind w:right="144"/>
              <w:jc w:val="right"/>
            </w:pPr>
            <w:r w:rsidRPr="001A5D64">
              <w:rPr>
                <w:rFonts w:ascii="Calibri" w:hAnsi="Calibri" w:cs="Calibri"/>
                <w:color w:val="000000"/>
              </w:rPr>
              <w:t>$</w:t>
            </w:r>
            <w:r w:rsidR="00F870F0">
              <w:rPr>
                <w:rFonts w:ascii="Calibri" w:hAnsi="Calibri" w:cs="Calibri"/>
                <w:color w:val="000000"/>
              </w:rPr>
              <w:t>83,212</w:t>
            </w:r>
            <w:r w:rsidRPr="001A5D64">
              <w:rPr>
                <w:rFonts w:ascii="Calibri" w:hAnsi="Calibri" w:cs="Calibri"/>
                <w:color w:val="000000"/>
              </w:rPr>
              <w:t>.50</w:t>
            </w:r>
          </w:p>
        </w:tc>
        <w:tc>
          <w:tcPr>
            <w:tcW w:w="920" w:type="dxa"/>
          </w:tcPr>
          <w:p w14:paraId="303D6559" w14:textId="797C00B6" w:rsidR="00734C95" w:rsidRPr="00734C95" w:rsidRDefault="00F870F0" w:rsidP="00734C95">
            <w:r>
              <w:rPr>
                <w:rFonts w:ascii="Calibri" w:hAnsi="Calibri" w:cs="Calibri"/>
                <w:color w:val="000000"/>
              </w:rPr>
              <w:t>41.61</w:t>
            </w:r>
            <w:r w:rsidR="001A5D64" w:rsidRPr="001A5D64">
              <w:rPr>
                <w:rFonts w:ascii="Calibri" w:hAnsi="Calibri" w:cs="Calibri"/>
                <w:color w:val="000000"/>
              </w:rPr>
              <w:t>%</w:t>
            </w:r>
          </w:p>
        </w:tc>
      </w:tr>
      <w:tr w:rsidR="00ED314E" w:rsidRPr="00734C95" w14:paraId="293AF183" w14:textId="77777777" w:rsidTr="00382F09">
        <w:trPr>
          <w:trHeight w:val="720"/>
        </w:trPr>
        <w:tc>
          <w:tcPr>
            <w:tcW w:w="4050" w:type="dxa"/>
          </w:tcPr>
          <w:p w14:paraId="059872A3" w14:textId="793B1C7B" w:rsidR="00ED314E" w:rsidRPr="00C815E4" w:rsidRDefault="00ED314E" w:rsidP="00ED314E">
            <w:pPr>
              <w:rPr>
                <w:rFonts w:ascii="Calibri" w:hAnsi="Calibri" w:cs="Calibri"/>
                <w:color w:val="000000"/>
              </w:rPr>
            </w:pPr>
            <w:r w:rsidRPr="00C815E4">
              <w:rPr>
                <w:rFonts w:ascii="Calibri" w:hAnsi="Calibri" w:cs="Calibri"/>
                <w:color w:val="000000"/>
              </w:rPr>
              <w:t>Unallowable (INSxx)</w:t>
            </w:r>
          </w:p>
        </w:tc>
        <w:tc>
          <w:tcPr>
            <w:tcW w:w="1530" w:type="dxa"/>
          </w:tcPr>
          <w:p w14:paraId="44727C87" w14:textId="122974F4" w:rsidR="00ED314E" w:rsidRPr="00C815E4" w:rsidRDefault="001A5D64" w:rsidP="005E1B23">
            <w:pPr>
              <w:ind w:right="144"/>
              <w:jc w:val="right"/>
              <w:rPr>
                <w:rFonts w:ascii="Calibri" w:hAnsi="Calibri" w:cs="Calibri"/>
                <w:color w:val="000000"/>
                <w:u w:val="single"/>
              </w:rPr>
            </w:pPr>
            <w:r w:rsidRPr="001A5D64">
              <w:rPr>
                <w:rFonts w:ascii="Calibri" w:hAnsi="Calibri" w:cs="Calibri"/>
                <w:color w:val="000000"/>
                <w:u w:val="single"/>
              </w:rPr>
              <w:t>$</w:t>
            </w:r>
            <w:r w:rsidR="00F870F0">
              <w:rPr>
                <w:rFonts w:ascii="Calibri" w:hAnsi="Calibri" w:cs="Calibri"/>
                <w:color w:val="000000"/>
                <w:u w:val="single"/>
              </w:rPr>
              <w:t>16,787</w:t>
            </w:r>
            <w:r w:rsidRPr="001A5D64">
              <w:rPr>
                <w:rFonts w:ascii="Calibri" w:hAnsi="Calibri" w:cs="Calibri"/>
                <w:color w:val="000000"/>
                <w:u w:val="single"/>
              </w:rPr>
              <w:t>.50</w:t>
            </w:r>
          </w:p>
        </w:tc>
        <w:tc>
          <w:tcPr>
            <w:tcW w:w="920" w:type="dxa"/>
          </w:tcPr>
          <w:p w14:paraId="7720326A" w14:textId="03E1C763" w:rsidR="00ED314E" w:rsidRDefault="00F870F0" w:rsidP="00ED314E">
            <w:pPr>
              <w:rPr>
                <w:rFonts w:ascii="Calibri" w:hAnsi="Calibri" w:cs="Calibri"/>
                <w:color w:val="000000"/>
                <w:u w:val="single"/>
              </w:rPr>
            </w:pPr>
            <w:r>
              <w:rPr>
                <w:rFonts w:ascii="Calibri" w:hAnsi="Calibri" w:cs="Calibri"/>
                <w:color w:val="000000"/>
                <w:u w:val="single"/>
              </w:rPr>
              <w:t>8.39</w:t>
            </w:r>
            <w:r w:rsidR="001A5D64" w:rsidRPr="001A5D64">
              <w:rPr>
                <w:rFonts w:ascii="Calibri" w:hAnsi="Calibri" w:cs="Calibri"/>
                <w:color w:val="000000"/>
                <w:u w:val="single"/>
              </w:rPr>
              <w:t>%</w:t>
            </w:r>
          </w:p>
        </w:tc>
      </w:tr>
      <w:tr w:rsidR="00ED314E" w:rsidRPr="00734C95" w14:paraId="072D392A" w14:textId="77777777" w:rsidTr="005E1B23">
        <w:trPr>
          <w:trHeight w:val="450"/>
        </w:trPr>
        <w:tc>
          <w:tcPr>
            <w:tcW w:w="4050" w:type="dxa"/>
          </w:tcPr>
          <w:p w14:paraId="65510898" w14:textId="0C4C85B8" w:rsidR="00ED314E" w:rsidRPr="00734C95" w:rsidRDefault="00ED314E" w:rsidP="00ED314E">
            <w:r w:rsidRPr="00C815E4">
              <w:rPr>
                <w:rFonts w:ascii="Calibri" w:hAnsi="Calibri" w:cs="Calibri"/>
                <w:color w:val="000000"/>
              </w:rPr>
              <w:t>Total Salary (Effort Percentage)</w:t>
            </w:r>
          </w:p>
        </w:tc>
        <w:tc>
          <w:tcPr>
            <w:tcW w:w="1530" w:type="dxa"/>
          </w:tcPr>
          <w:p w14:paraId="70C3A00F" w14:textId="75725EE2" w:rsidR="00ED314E" w:rsidRPr="00734C95" w:rsidRDefault="00ED314E" w:rsidP="005E1B23">
            <w:pPr>
              <w:ind w:right="144"/>
              <w:jc w:val="right"/>
            </w:pPr>
            <w:r w:rsidRPr="00C815E4">
              <w:rPr>
                <w:rFonts w:ascii="Calibri" w:hAnsi="Calibri" w:cs="Calibri"/>
                <w:color w:val="000000"/>
              </w:rPr>
              <w:t>$ 1</w:t>
            </w:r>
            <w:r w:rsidR="00F870F0">
              <w:rPr>
                <w:rFonts w:ascii="Calibri" w:hAnsi="Calibri" w:cs="Calibri"/>
                <w:color w:val="000000"/>
              </w:rPr>
              <w:t>00</w:t>
            </w:r>
            <w:r w:rsidRPr="00C815E4">
              <w:rPr>
                <w:rFonts w:ascii="Calibri" w:hAnsi="Calibri" w:cs="Calibri"/>
                <w:color w:val="000000"/>
              </w:rPr>
              <w:t xml:space="preserve">,000.00 </w:t>
            </w:r>
          </w:p>
        </w:tc>
        <w:tc>
          <w:tcPr>
            <w:tcW w:w="920" w:type="dxa"/>
          </w:tcPr>
          <w:p w14:paraId="1BE04E6C" w14:textId="565DDFB3" w:rsidR="00ED314E" w:rsidRPr="00734C95" w:rsidRDefault="00ED314E" w:rsidP="00ED314E">
            <w:r w:rsidRPr="00C815E4">
              <w:rPr>
                <w:rFonts w:ascii="Calibri" w:hAnsi="Calibri" w:cs="Calibri"/>
                <w:color w:val="000000"/>
              </w:rPr>
              <w:t>50.00%</w:t>
            </w:r>
          </w:p>
        </w:tc>
      </w:tr>
    </w:tbl>
    <w:p w14:paraId="3A0E8DF1" w14:textId="5B6835B5" w:rsidR="001E3FD2" w:rsidRDefault="002263F0" w:rsidP="00A33FCE">
      <w:pPr>
        <w:spacing w:before="560" w:after="240"/>
        <w:rPr>
          <w:b/>
          <w:bCs/>
          <w:sz w:val="24"/>
          <w:szCs w:val="24"/>
        </w:rPr>
      </w:pPr>
      <w:r w:rsidRPr="00C815E4">
        <w:rPr>
          <w:b/>
          <w:bCs/>
          <w:sz w:val="24"/>
          <w:szCs w:val="24"/>
        </w:rPr>
        <w:t>The Unallowable Amount must be reallocated to an INSxx subaccount</w:t>
      </w:r>
      <w:r w:rsidR="008E28D1" w:rsidRPr="00C815E4">
        <w:rPr>
          <w:b/>
          <w:bCs/>
          <w:sz w:val="24"/>
          <w:szCs w:val="24"/>
        </w:rPr>
        <w:t>.</w:t>
      </w:r>
      <w:r w:rsidR="001E3FD2">
        <w:rPr>
          <w:b/>
          <w:bCs/>
          <w:sz w:val="24"/>
          <w:szCs w:val="24"/>
        </w:rPr>
        <w:br w:type="page"/>
      </w:r>
    </w:p>
    <w:p w14:paraId="5D153B52" w14:textId="25ED0A2E" w:rsidR="00C77D9B" w:rsidRPr="001E3FD2" w:rsidRDefault="00643986" w:rsidP="001E3FD2">
      <w:pPr>
        <w:pStyle w:val="Heading2"/>
      </w:pPr>
      <w:r w:rsidRPr="001E3FD2">
        <w:lastRenderedPageBreak/>
        <w:t>S</w:t>
      </w:r>
      <w:r w:rsidR="00C77D9B" w:rsidRPr="001E3FD2">
        <w:t xml:space="preserve">alary </w:t>
      </w:r>
      <w:r w:rsidR="00CF50D2" w:rsidRPr="001E3FD2">
        <w:t xml:space="preserve">Cap </w:t>
      </w:r>
      <w:r w:rsidR="00FE317A" w:rsidRPr="001E3FD2">
        <w:t xml:space="preserve">Determination </w:t>
      </w:r>
      <w:r w:rsidR="00CF50D2" w:rsidRPr="001E3FD2">
        <w:t>for</w:t>
      </w:r>
      <w:r w:rsidR="00C77D9B" w:rsidRPr="001E3FD2">
        <w:t xml:space="preserve"> Academic Summer Appointments </w:t>
      </w:r>
    </w:p>
    <w:p w14:paraId="7630E6E9" w14:textId="611CD860" w:rsidR="004D24D5" w:rsidRPr="00C815E4" w:rsidRDefault="004D24D5" w:rsidP="007D0D20">
      <w:pPr>
        <w:pStyle w:val="Default"/>
        <w:spacing w:after="240"/>
        <w:rPr>
          <w:sz w:val="22"/>
          <w:szCs w:val="22"/>
        </w:rPr>
      </w:pPr>
      <w:r w:rsidRPr="00C815E4">
        <w:rPr>
          <w:sz w:val="22"/>
          <w:szCs w:val="22"/>
        </w:rPr>
        <w:t xml:space="preserve">The total summer salary on grant accounts is typically limited to a maximum of </w:t>
      </w:r>
      <w:r w:rsidR="007572D8">
        <w:rPr>
          <w:sz w:val="22"/>
          <w:szCs w:val="22"/>
        </w:rPr>
        <w:t>13</w:t>
      </w:r>
      <w:r w:rsidRPr="00C815E4">
        <w:rPr>
          <w:sz w:val="22"/>
          <w:szCs w:val="22"/>
        </w:rPr>
        <w:t xml:space="preserve"> weeks</w:t>
      </w:r>
      <w:r w:rsidR="00FA5526">
        <w:rPr>
          <w:rStyle w:val="EndnoteReference"/>
          <w:sz w:val="22"/>
          <w:szCs w:val="22"/>
        </w:rPr>
        <w:endnoteReference w:customMarkFollows="1" w:id="2"/>
        <w:t>**</w:t>
      </w:r>
      <w:r w:rsidRPr="00C815E4">
        <w:rPr>
          <w:sz w:val="22"/>
          <w:szCs w:val="22"/>
        </w:rPr>
        <w:t xml:space="preserve"> in order to provide the faculty member with vacation time as well as time to prepare and submit new proposals. Though Indiana University limits the total salary received to a maximum of </w:t>
      </w:r>
      <w:r w:rsidR="007572D8">
        <w:rPr>
          <w:sz w:val="22"/>
          <w:szCs w:val="22"/>
        </w:rPr>
        <w:t>13</w:t>
      </w:r>
      <w:r w:rsidRPr="00C815E4">
        <w:rPr>
          <w:sz w:val="22"/>
          <w:szCs w:val="22"/>
        </w:rPr>
        <w:t xml:space="preserve"> weeks, the salary cap guidelines apply to amount</w:t>
      </w:r>
      <w:r w:rsidR="00BA5BE4" w:rsidRPr="00C815E4">
        <w:rPr>
          <w:sz w:val="22"/>
          <w:szCs w:val="22"/>
        </w:rPr>
        <w:t>s allocated to an award account</w:t>
      </w:r>
      <w:r w:rsidRPr="00C815E4">
        <w:rPr>
          <w:sz w:val="22"/>
          <w:szCs w:val="22"/>
        </w:rPr>
        <w:t xml:space="preserve"> for any agency with a salary limitation requirement.</w:t>
      </w:r>
    </w:p>
    <w:p w14:paraId="6441F1BC" w14:textId="5C49B871" w:rsidR="004D24D5" w:rsidRDefault="004D24D5" w:rsidP="00E25341">
      <w:r w:rsidRPr="00C815E4">
        <w:t>The allowable amount of summer salary that can be charged to a grant with a salary limitation requirement is based on the prior fiscal year Institutional Base Salary and the current Salary Limita</w:t>
      </w:r>
      <w:r w:rsidR="001353BB" w:rsidRPr="00C815E4">
        <w:t>tion</w:t>
      </w:r>
      <w:r w:rsidRPr="00C815E4">
        <w:t>.</w:t>
      </w:r>
    </w:p>
    <w:tbl>
      <w:tblPr>
        <w:tblStyle w:val="TableGrid"/>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160"/>
        <w:gridCol w:w="1080"/>
      </w:tblGrid>
      <w:tr w:rsidR="002A2D8D" w:rsidRPr="00272501" w14:paraId="37125A15" w14:textId="77777777" w:rsidTr="008B175B">
        <w:trPr>
          <w:trHeight w:val="288"/>
        </w:trPr>
        <w:tc>
          <w:tcPr>
            <w:tcW w:w="4050" w:type="dxa"/>
            <w:vAlign w:val="bottom"/>
          </w:tcPr>
          <w:p w14:paraId="2F804B6A" w14:textId="0D89D552" w:rsidR="002A2D8D" w:rsidRPr="00272501" w:rsidRDefault="002A2D8D" w:rsidP="002A2D8D">
            <w:r w:rsidRPr="00C815E4">
              <w:rPr>
                <w:rFonts w:ascii="Calibri" w:eastAsia="Times New Roman" w:hAnsi="Calibri" w:cs="Calibri"/>
                <w:b/>
                <w:bCs/>
                <w:color w:val="000000"/>
              </w:rPr>
              <w:t>Appointment</w:t>
            </w:r>
          </w:p>
        </w:tc>
        <w:tc>
          <w:tcPr>
            <w:tcW w:w="2160" w:type="dxa"/>
            <w:vAlign w:val="bottom"/>
          </w:tcPr>
          <w:p w14:paraId="67DA0097" w14:textId="7BC9703F" w:rsidR="002A2D8D" w:rsidRPr="00272501" w:rsidRDefault="002A2D8D" w:rsidP="0026443C">
            <w:pPr>
              <w:ind w:right="144"/>
              <w:jc w:val="center"/>
            </w:pPr>
            <w:r w:rsidRPr="00C815E4">
              <w:rPr>
                <w:rFonts w:ascii="Calibri" w:eastAsia="Times New Roman" w:hAnsi="Calibri" w:cs="Calibri"/>
                <w:b/>
                <w:bCs/>
                <w:color w:val="000000"/>
              </w:rPr>
              <w:t>Academic Summer</w:t>
            </w:r>
          </w:p>
        </w:tc>
        <w:tc>
          <w:tcPr>
            <w:tcW w:w="1080" w:type="dxa"/>
            <w:vAlign w:val="bottom"/>
          </w:tcPr>
          <w:p w14:paraId="31558DF4" w14:textId="77777777" w:rsidR="002A2D8D" w:rsidRPr="00272501" w:rsidRDefault="002A2D8D" w:rsidP="002A2D8D">
            <w:pPr>
              <w:jc w:val="center"/>
            </w:pPr>
          </w:p>
        </w:tc>
      </w:tr>
      <w:tr w:rsidR="002A2D8D" w:rsidRPr="00272501" w14:paraId="1EBF0B34" w14:textId="77777777" w:rsidTr="008B175B">
        <w:trPr>
          <w:trHeight w:val="540"/>
        </w:trPr>
        <w:tc>
          <w:tcPr>
            <w:tcW w:w="4050" w:type="dxa"/>
            <w:vAlign w:val="bottom"/>
          </w:tcPr>
          <w:p w14:paraId="67059A88" w14:textId="79E40955" w:rsidR="002A2D8D" w:rsidRPr="00272501" w:rsidRDefault="002A2D8D" w:rsidP="002A2D8D">
            <w:r w:rsidRPr="00C815E4">
              <w:rPr>
                <w:rFonts w:ascii="Calibri" w:eastAsia="Times New Roman" w:hAnsi="Calibri" w:cs="Calibri"/>
                <w:color w:val="000000"/>
              </w:rPr>
              <w:t>Salary Limitation*</w:t>
            </w:r>
          </w:p>
        </w:tc>
        <w:tc>
          <w:tcPr>
            <w:tcW w:w="2160" w:type="dxa"/>
            <w:vAlign w:val="bottom"/>
          </w:tcPr>
          <w:p w14:paraId="5D063530" w14:textId="0BEA4429" w:rsidR="002A2D8D" w:rsidRPr="00272501" w:rsidRDefault="002A2D8D" w:rsidP="00AB4A8C">
            <w:pPr>
              <w:ind w:right="144"/>
              <w:jc w:val="right"/>
            </w:pPr>
            <w:r w:rsidRPr="003F639E">
              <w:rPr>
                <w:rFonts w:ascii="Calibri" w:hAnsi="Calibri" w:cs="Calibri"/>
                <w:color w:val="000000"/>
              </w:rPr>
              <w:t xml:space="preserve">$           </w:t>
            </w:r>
            <w:r w:rsidR="001A5D64" w:rsidRPr="001A5D64">
              <w:rPr>
                <w:rFonts w:ascii="Calibri" w:hAnsi="Calibri" w:cs="Calibri"/>
                <w:color w:val="000000"/>
              </w:rPr>
              <w:t>1</w:t>
            </w:r>
            <w:r w:rsidR="00F870F0">
              <w:rPr>
                <w:rFonts w:ascii="Calibri" w:hAnsi="Calibri" w:cs="Calibri"/>
                <w:color w:val="000000"/>
              </w:rPr>
              <w:t>66,425</w:t>
            </w:r>
            <w:r w:rsidR="001A5D64" w:rsidRPr="001A5D64">
              <w:rPr>
                <w:rFonts w:ascii="Calibri" w:hAnsi="Calibri" w:cs="Calibri"/>
                <w:color w:val="000000"/>
              </w:rPr>
              <w:t>.00</w:t>
            </w:r>
          </w:p>
        </w:tc>
        <w:tc>
          <w:tcPr>
            <w:tcW w:w="1080" w:type="dxa"/>
            <w:vAlign w:val="bottom"/>
          </w:tcPr>
          <w:p w14:paraId="52334DD9" w14:textId="77777777" w:rsidR="002A2D8D" w:rsidRPr="00272501" w:rsidRDefault="002A2D8D" w:rsidP="002A2D8D">
            <w:pPr>
              <w:jc w:val="center"/>
            </w:pPr>
          </w:p>
        </w:tc>
      </w:tr>
      <w:tr w:rsidR="002A2D8D" w:rsidRPr="00272501" w14:paraId="05C8DD94" w14:textId="77777777" w:rsidTr="008B175B">
        <w:trPr>
          <w:trHeight w:val="630"/>
        </w:trPr>
        <w:tc>
          <w:tcPr>
            <w:tcW w:w="4050" w:type="dxa"/>
            <w:vAlign w:val="bottom"/>
          </w:tcPr>
          <w:p w14:paraId="172B8B54" w14:textId="0C5E2369" w:rsidR="002A2D8D" w:rsidRPr="00272501" w:rsidRDefault="002A2D8D" w:rsidP="002A2D8D">
            <w:r w:rsidRPr="00C815E4">
              <w:rPr>
                <w:rFonts w:ascii="Calibri" w:eastAsia="Times New Roman" w:hAnsi="Calibri" w:cs="Calibri"/>
                <w:color w:val="000000"/>
              </w:rPr>
              <w:t>Institutional Base Salary</w:t>
            </w:r>
          </w:p>
        </w:tc>
        <w:tc>
          <w:tcPr>
            <w:tcW w:w="2160" w:type="dxa"/>
            <w:vAlign w:val="bottom"/>
          </w:tcPr>
          <w:p w14:paraId="7C8CC53E" w14:textId="36118F6E" w:rsidR="002A2D8D" w:rsidRPr="00272501" w:rsidRDefault="002A2D8D" w:rsidP="00AB4A8C">
            <w:pPr>
              <w:ind w:right="144"/>
              <w:jc w:val="right"/>
            </w:pPr>
            <w:r w:rsidRPr="00C815E4">
              <w:rPr>
                <w:rFonts w:ascii="Calibri" w:eastAsia="Times New Roman" w:hAnsi="Calibri" w:cs="Calibri"/>
                <w:color w:val="000000"/>
              </w:rPr>
              <w:t>$           2</w:t>
            </w:r>
            <w:r w:rsidR="00F870F0">
              <w:rPr>
                <w:rFonts w:ascii="Calibri" w:eastAsia="Times New Roman" w:hAnsi="Calibri" w:cs="Calibri"/>
                <w:color w:val="000000"/>
              </w:rPr>
              <w:t>0</w:t>
            </w:r>
            <w:r w:rsidRPr="00C815E4">
              <w:rPr>
                <w:rFonts w:ascii="Calibri" w:eastAsia="Times New Roman" w:hAnsi="Calibri" w:cs="Calibri"/>
                <w:color w:val="000000"/>
              </w:rPr>
              <w:t>0,000.00</w:t>
            </w:r>
          </w:p>
        </w:tc>
        <w:tc>
          <w:tcPr>
            <w:tcW w:w="1080" w:type="dxa"/>
            <w:vAlign w:val="bottom"/>
          </w:tcPr>
          <w:p w14:paraId="3F77D069" w14:textId="77777777" w:rsidR="002A2D8D" w:rsidRPr="00272501" w:rsidRDefault="002A2D8D" w:rsidP="002A2D8D">
            <w:pPr>
              <w:jc w:val="center"/>
            </w:pPr>
          </w:p>
        </w:tc>
      </w:tr>
      <w:tr w:rsidR="002A2D8D" w:rsidRPr="00272501" w14:paraId="20E542E8" w14:textId="77777777" w:rsidTr="008B175B">
        <w:trPr>
          <w:trHeight w:val="540"/>
        </w:trPr>
        <w:tc>
          <w:tcPr>
            <w:tcW w:w="4050" w:type="dxa"/>
            <w:vAlign w:val="bottom"/>
          </w:tcPr>
          <w:p w14:paraId="2E65EE6D" w14:textId="02F7EDCE" w:rsidR="002A2D8D" w:rsidRPr="00272501" w:rsidRDefault="002A2D8D" w:rsidP="002A2D8D">
            <w:r w:rsidRPr="00C815E4">
              <w:rPr>
                <w:rFonts w:ascii="Calibri" w:eastAsia="Times New Roman" w:hAnsi="Calibri" w:cs="Calibri"/>
                <w:color w:val="000000"/>
              </w:rPr>
              <w:t xml:space="preserve">Total Weeks Summer Salary </w:t>
            </w:r>
          </w:p>
        </w:tc>
        <w:tc>
          <w:tcPr>
            <w:tcW w:w="2160" w:type="dxa"/>
            <w:vAlign w:val="bottom"/>
          </w:tcPr>
          <w:p w14:paraId="177887C5" w14:textId="7C6AA0E5" w:rsidR="002A2D8D" w:rsidRPr="00272501" w:rsidRDefault="002A2D8D" w:rsidP="00AB4A8C">
            <w:pPr>
              <w:ind w:right="144"/>
              <w:jc w:val="right"/>
            </w:pPr>
            <w:r w:rsidRPr="00C815E4">
              <w:rPr>
                <w:rFonts w:ascii="Calibri" w:eastAsia="Times New Roman" w:hAnsi="Calibri" w:cs="Calibri"/>
                <w:color w:val="000000"/>
              </w:rPr>
              <w:t>9</w:t>
            </w:r>
          </w:p>
        </w:tc>
        <w:tc>
          <w:tcPr>
            <w:tcW w:w="1080" w:type="dxa"/>
            <w:vAlign w:val="bottom"/>
          </w:tcPr>
          <w:p w14:paraId="05FD3E94" w14:textId="77777777" w:rsidR="002A2D8D" w:rsidRPr="00272501" w:rsidRDefault="002A2D8D" w:rsidP="002A2D8D">
            <w:pPr>
              <w:jc w:val="center"/>
            </w:pPr>
          </w:p>
        </w:tc>
      </w:tr>
      <w:tr w:rsidR="002A2D8D" w:rsidRPr="00272501" w14:paraId="080002CF" w14:textId="77777777" w:rsidTr="008B175B">
        <w:trPr>
          <w:trHeight w:val="630"/>
        </w:trPr>
        <w:tc>
          <w:tcPr>
            <w:tcW w:w="4050" w:type="dxa"/>
            <w:vAlign w:val="bottom"/>
          </w:tcPr>
          <w:p w14:paraId="0E0BE67F" w14:textId="21AB5FB7" w:rsidR="002A2D8D" w:rsidRPr="00272501" w:rsidRDefault="002A2D8D" w:rsidP="002A2D8D">
            <w:r w:rsidRPr="00C815E4">
              <w:rPr>
                <w:rFonts w:ascii="Calibri" w:eastAsia="Times New Roman" w:hAnsi="Calibri" w:cs="Calibri"/>
                <w:color w:val="000000"/>
              </w:rPr>
              <w:t>Total Effort Percentage</w:t>
            </w:r>
          </w:p>
        </w:tc>
        <w:tc>
          <w:tcPr>
            <w:tcW w:w="2160" w:type="dxa"/>
            <w:vAlign w:val="bottom"/>
          </w:tcPr>
          <w:p w14:paraId="79964903" w14:textId="4683B6E3" w:rsidR="002A2D8D" w:rsidRPr="00272501" w:rsidRDefault="002A2D8D" w:rsidP="00AB4A8C">
            <w:pPr>
              <w:ind w:right="144"/>
              <w:jc w:val="right"/>
            </w:pPr>
            <w:r w:rsidRPr="00C815E4">
              <w:rPr>
                <w:rFonts w:ascii="Calibri" w:eastAsia="Times New Roman" w:hAnsi="Calibri" w:cs="Calibri"/>
                <w:color w:val="000000"/>
              </w:rPr>
              <w:t>50%</w:t>
            </w:r>
          </w:p>
        </w:tc>
        <w:tc>
          <w:tcPr>
            <w:tcW w:w="1080" w:type="dxa"/>
            <w:vAlign w:val="bottom"/>
          </w:tcPr>
          <w:p w14:paraId="157BDEBF" w14:textId="77777777" w:rsidR="002A2D8D" w:rsidRPr="00272501" w:rsidRDefault="002A2D8D" w:rsidP="002A2D8D">
            <w:pPr>
              <w:jc w:val="center"/>
            </w:pPr>
          </w:p>
        </w:tc>
      </w:tr>
      <w:tr w:rsidR="002A2D8D" w:rsidRPr="00272501" w14:paraId="3AD7B2C9" w14:textId="77777777" w:rsidTr="008B175B">
        <w:trPr>
          <w:trHeight w:val="540"/>
        </w:trPr>
        <w:tc>
          <w:tcPr>
            <w:tcW w:w="4050" w:type="dxa"/>
            <w:vAlign w:val="bottom"/>
          </w:tcPr>
          <w:p w14:paraId="0DA991CA" w14:textId="460C0046" w:rsidR="002A2D8D" w:rsidRPr="00272501" w:rsidRDefault="002A2D8D" w:rsidP="002A2D8D">
            <w:r w:rsidRPr="00C815E4">
              <w:rPr>
                <w:rFonts w:ascii="Calibri" w:eastAsia="Times New Roman" w:hAnsi="Calibri" w:cs="Calibri"/>
                <w:color w:val="000000"/>
              </w:rPr>
              <w:t>Total Summer Salary Amount</w:t>
            </w:r>
          </w:p>
        </w:tc>
        <w:tc>
          <w:tcPr>
            <w:tcW w:w="2160" w:type="dxa"/>
            <w:vAlign w:val="bottom"/>
          </w:tcPr>
          <w:p w14:paraId="3D4AABB4" w14:textId="1419B464" w:rsidR="002A2D8D" w:rsidRPr="00272501" w:rsidRDefault="002A2D8D" w:rsidP="00AB4A8C">
            <w:pPr>
              <w:ind w:right="144"/>
              <w:jc w:val="right"/>
            </w:pPr>
            <w:r w:rsidRPr="00C815E4">
              <w:rPr>
                <w:rFonts w:ascii="Calibri" w:eastAsia="Times New Roman" w:hAnsi="Calibri" w:cs="Calibri"/>
                <w:color w:val="000000"/>
              </w:rPr>
              <w:t xml:space="preserve">$              </w:t>
            </w:r>
            <w:r w:rsidR="00F870F0">
              <w:rPr>
                <w:rFonts w:ascii="Calibri" w:eastAsia="Times New Roman" w:hAnsi="Calibri" w:cs="Calibri"/>
                <w:color w:val="000000"/>
              </w:rPr>
              <w:t>45,000</w:t>
            </w:r>
            <w:r w:rsidRPr="00C815E4">
              <w:rPr>
                <w:rFonts w:ascii="Calibri" w:eastAsia="Times New Roman" w:hAnsi="Calibri" w:cs="Calibri"/>
                <w:color w:val="000000"/>
              </w:rPr>
              <w:t>.00</w:t>
            </w:r>
          </w:p>
        </w:tc>
        <w:tc>
          <w:tcPr>
            <w:tcW w:w="1080" w:type="dxa"/>
            <w:vAlign w:val="bottom"/>
          </w:tcPr>
          <w:p w14:paraId="74A9F081" w14:textId="77777777" w:rsidR="002A2D8D" w:rsidRPr="00272501" w:rsidRDefault="002A2D8D" w:rsidP="002A2D8D">
            <w:pPr>
              <w:jc w:val="center"/>
            </w:pPr>
          </w:p>
        </w:tc>
      </w:tr>
      <w:tr w:rsidR="002A2D8D" w:rsidRPr="00272501" w14:paraId="536BAFFB" w14:textId="77777777" w:rsidTr="008B175B">
        <w:trPr>
          <w:trHeight w:val="540"/>
        </w:trPr>
        <w:tc>
          <w:tcPr>
            <w:tcW w:w="4050" w:type="dxa"/>
            <w:vAlign w:val="bottom"/>
          </w:tcPr>
          <w:p w14:paraId="5FCAC8C9" w14:textId="47492852" w:rsidR="002A2D8D" w:rsidRPr="00272501" w:rsidRDefault="002A2D8D" w:rsidP="002A2D8D">
            <w:r w:rsidRPr="00C815E4">
              <w:rPr>
                <w:rFonts w:ascii="Calibri" w:eastAsia="Times New Roman" w:hAnsi="Calibri" w:cs="Calibri"/>
                <w:color w:val="000000"/>
              </w:rPr>
              <w:t>Allowable Percent</w:t>
            </w:r>
          </w:p>
        </w:tc>
        <w:tc>
          <w:tcPr>
            <w:tcW w:w="2160" w:type="dxa"/>
            <w:vAlign w:val="bottom"/>
          </w:tcPr>
          <w:p w14:paraId="0185B9F7" w14:textId="0C2FFAD1" w:rsidR="002A2D8D" w:rsidRPr="00272501" w:rsidRDefault="001A5D64" w:rsidP="00AB4A8C">
            <w:pPr>
              <w:ind w:right="144"/>
              <w:jc w:val="right"/>
            </w:pPr>
            <w:r w:rsidRPr="001A5D64">
              <w:rPr>
                <w:rFonts w:ascii="Calibri" w:hAnsi="Calibri" w:cs="Calibri"/>
                <w:color w:val="000000"/>
              </w:rPr>
              <w:t>3</w:t>
            </w:r>
            <w:r w:rsidR="00410CF2">
              <w:rPr>
                <w:rFonts w:ascii="Calibri" w:hAnsi="Calibri" w:cs="Calibri"/>
                <w:color w:val="000000"/>
              </w:rPr>
              <w:t>8.19</w:t>
            </w:r>
            <w:r w:rsidRPr="001A5D64">
              <w:rPr>
                <w:rFonts w:ascii="Calibri" w:hAnsi="Calibri" w:cs="Calibri"/>
                <w:color w:val="000000"/>
              </w:rPr>
              <w:t>%</w:t>
            </w:r>
          </w:p>
        </w:tc>
        <w:tc>
          <w:tcPr>
            <w:tcW w:w="1080" w:type="dxa"/>
            <w:vAlign w:val="bottom"/>
          </w:tcPr>
          <w:p w14:paraId="023BDE46" w14:textId="77777777" w:rsidR="002A2D8D" w:rsidRPr="00272501" w:rsidRDefault="002A2D8D" w:rsidP="002A2D8D">
            <w:pPr>
              <w:jc w:val="center"/>
            </w:pPr>
          </w:p>
        </w:tc>
      </w:tr>
      <w:tr w:rsidR="002A2D8D" w:rsidRPr="00272501" w14:paraId="2EEFB126" w14:textId="77777777" w:rsidTr="008B175B">
        <w:trPr>
          <w:trHeight w:val="630"/>
        </w:trPr>
        <w:tc>
          <w:tcPr>
            <w:tcW w:w="4050" w:type="dxa"/>
            <w:vAlign w:val="bottom"/>
          </w:tcPr>
          <w:p w14:paraId="79A63F52" w14:textId="77777777" w:rsidR="002A2D8D" w:rsidRPr="00272501" w:rsidRDefault="002A2D8D" w:rsidP="002A2D8D"/>
        </w:tc>
        <w:tc>
          <w:tcPr>
            <w:tcW w:w="2160" w:type="dxa"/>
            <w:vAlign w:val="bottom"/>
          </w:tcPr>
          <w:p w14:paraId="79D8201A" w14:textId="28C97C45" w:rsidR="002A2D8D" w:rsidRPr="00E36584" w:rsidRDefault="002A2D8D" w:rsidP="00A86582">
            <w:pPr>
              <w:ind w:left="144"/>
              <w:rPr>
                <w:rFonts w:ascii="Calibri" w:eastAsia="Times New Roman" w:hAnsi="Calibri" w:cs="Calibri"/>
                <w:b/>
                <w:bCs/>
                <w:color w:val="000000"/>
              </w:rPr>
            </w:pPr>
            <w:r w:rsidRPr="00C815E4">
              <w:rPr>
                <w:rFonts w:ascii="Calibri" w:eastAsia="Times New Roman" w:hAnsi="Calibri" w:cs="Calibri"/>
                <w:b/>
                <w:bCs/>
                <w:color w:val="000000"/>
              </w:rPr>
              <w:t>Dollars</w:t>
            </w:r>
          </w:p>
        </w:tc>
        <w:tc>
          <w:tcPr>
            <w:tcW w:w="1080" w:type="dxa"/>
            <w:vAlign w:val="bottom"/>
          </w:tcPr>
          <w:p w14:paraId="73547443" w14:textId="4BEDAB42" w:rsidR="002A2D8D" w:rsidRPr="00272501" w:rsidRDefault="002A2D8D" w:rsidP="002A2D8D">
            <w:pPr>
              <w:jc w:val="center"/>
            </w:pPr>
            <w:r w:rsidRPr="00C815E4">
              <w:rPr>
                <w:rFonts w:ascii="Calibri" w:eastAsia="Times New Roman" w:hAnsi="Calibri" w:cs="Calibri"/>
                <w:b/>
                <w:bCs/>
                <w:color w:val="000000"/>
              </w:rPr>
              <w:t>Percent</w:t>
            </w:r>
          </w:p>
        </w:tc>
      </w:tr>
      <w:tr w:rsidR="002A2D8D" w:rsidRPr="00272501" w14:paraId="2B55A860" w14:textId="77777777" w:rsidTr="008B175B">
        <w:trPr>
          <w:trHeight w:val="360"/>
        </w:trPr>
        <w:tc>
          <w:tcPr>
            <w:tcW w:w="4050" w:type="dxa"/>
            <w:vAlign w:val="bottom"/>
          </w:tcPr>
          <w:p w14:paraId="4EE9F385" w14:textId="77CFD40C" w:rsidR="002A2D8D" w:rsidRPr="00272501" w:rsidRDefault="002A2D8D" w:rsidP="002A2D8D">
            <w:r w:rsidRPr="00C815E4">
              <w:rPr>
                <w:rFonts w:ascii="Calibri" w:eastAsia="Times New Roman" w:hAnsi="Calibri" w:cs="Calibri"/>
                <w:color w:val="000000"/>
              </w:rPr>
              <w:t>Direct Salary + Cost Share / Effort Percent</w:t>
            </w:r>
          </w:p>
        </w:tc>
        <w:tc>
          <w:tcPr>
            <w:tcW w:w="2160" w:type="dxa"/>
            <w:vAlign w:val="bottom"/>
          </w:tcPr>
          <w:p w14:paraId="00302291" w14:textId="56ECEF33" w:rsidR="002A2D8D" w:rsidRPr="00272501" w:rsidRDefault="002A2D8D" w:rsidP="00AB4A8C">
            <w:pPr>
              <w:ind w:right="144"/>
              <w:jc w:val="right"/>
            </w:pPr>
            <w:r w:rsidRPr="00C815E4">
              <w:rPr>
                <w:rFonts w:ascii="Calibri" w:eastAsia="Times New Roman" w:hAnsi="Calibri" w:cs="Calibri"/>
                <w:color w:val="000000"/>
              </w:rPr>
              <w:t xml:space="preserve">$              </w:t>
            </w:r>
            <w:r w:rsidR="001A5D64" w:rsidRPr="001A5D64">
              <w:rPr>
                <w:rFonts w:ascii="Calibri" w:eastAsia="Times New Roman" w:hAnsi="Calibri" w:cs="Calibri"/>
                <w:color w:val="000000"/>
              </w:rPr>
              <w:t xml:space="preserve"> 17,</w:t>
            </w:r>
            <w:r w:rsidR="00F870F0">
              <w:rPr>
                <w:rFonts w:ascii="Calibri" w:eastAsia="Times New Roman" w:hAnsi="Calibri" w:cs="Calibri"/>
                <w:color w:val="000000"/>
              </w:rPr>
              <w:t>187.19</w:t>
            </w:r>
          </w:p>
        </w:tc>
        <w:tc>
          <w:tcPr>
            <w:tcW w:w="1080" w:type="dxa"/>
            <w:vAlign w:val="bottom"/>
          </w:tcPr>
          <w:p w14:paraId="51AAC1B5" w14:textId="0DEC7876" w:rsidR="002A2D8D" w:rsidRPr="00272501" w:rsidRDefault="001A5D64" w:rsidP="002A2D8D">
            <w:pPr>
              <w:jc w:val="center"/>
            </w:pPr>
            <w:r w:rsidRPr="001A5D64">
              <w:rPr>
                <w:rFonts w:ascii="Calibri" w:hAnsi="Calibri" w:cs="Calibri"/>
                <w:color w:val="000000"/>
              </w:rPr>
              <w:t>3</w:t>
            </w:r>
            <w:r w:rsidR="00F870F0">
              <w:rPr>
                <w:rFonts w:ascii="Calibri" w:hAnsi="Calibri" w:cs="Calibri"/>
                <w:color w:val="000000"/>
              </w:rPr>
              <w:t>8.19</w:t>
            </w:r>
            <w:r w:rsidRPr="001A5D64">
              <w:rPr>
                <w:rFonts w:ascii="Calibri" w:hAnsi="Calibri" w:cs="Calibri"/>
                <w:color w:val="000000"/>
              </w:rPr>
              <w:t>%</w:t>
            </w:r>
          </w:p>
        </w:tc>
      </w:tr>
      <w:tr w:rsidR="002A2D8D" w:rsidRPr="00272501" w14:paraId="5848D74D" w14:textId="77777777" w:rsidTr="008B175B">
        <w:trPr>
          <w:trHeight w:val="540"/>
        </w:trPr>
        <w:tc>
          <w:tcPr>
            <w:tcW w:w="4050" w:type="dxa"/>
            <w:vAlign w:val="bottom"/>
          </w:tcPr>
          <w:p w14:paraId="1721FA49" w14:textId="1A932878" w:rsidR="002A2D8D" w:rsidRPr="00272501" w:rsidRDefault="002A2D8D" w:rsidP="002A2D8D">
            <w:r w:rsidRPr="00C815E4">
              <w:rPr>
                <w:rFonts w:ascii="Calibri" w:eastAsia="Times New Roman" w:hAnsi="Calibri" w:cs="Calibri"/>
                <w:color w:val="000000"/>
              </w:rPr>
              <w:t>Unallowable (INSxx)</w:t>
            </w:r>
          </w:p>
        </w:tc>
        <w:tc>
          <w:tcPr>
            <w:tcW w:w="2160" w:type="dxa"/>
            <w:vAlign w:val="bottom"/>
          </w:tcPr>
          <w:p w14:paraId="0D8B9219" w14:textId="7DABAFDC" w:rsidR="002A2D8D" w:rsidRPr="00272501" w:rsidRDefault="002A2D8D" w:rsidP="00AB4A8C">
            <w:pPr>
              <w:ind w:right="144"/>
              <w:jc w:val="right"/>
            </w:pPr>
            <w:r w:rsidRPr="00C815E4">
              <w:rPr>
                <w:rFonts w:ascii="Calibri" w:eastAsia="Times New Roman" w:hAnsi="Calibri" w:cs="Calibri"/>
                <w:color w:val="000000"/>
                <w:u w:val="single"/>
              </w:rPr>
              <w:t xml:space="preserve">$              </w:t>
            </w:r>
            <w:r w:rsidR="001A5D64" w:rsidRPr="001A5D64">
              <w:rPr>
                <w:rFonts w:ascii="Calibri" w:eastAsia="Times New Roman" w:hAnsi="Calibri" w:cs="Calibri"/>
                <w:color w:val="000000"/>
                <w:u w:val="single"/>
              </w:rPr>
              <w:t xml:space="preserve"> </w:t>
            </w:r>
            <w:r w:rsidR="00F870F0">
              <w:rPr>
                <w:rFonts w:ascii="Calibri" w:eastAsia="Times New Roman" w:hAnsi="Calibri" w:cs="Calibri"/>
                <w:color w:val="000000"/>
                <w:u w:val="single"/>
              </w:rPr>
              <w:t>5,312.81</w:t>
            </w:r>
          </w:p>
        </w:tc>
        <w:tc>
          <w:tcPr>
            <w:tcW w:w="1080" w:type="dxa"/>
            <w:vAlign w:val="bottom"/>
          </w:tcPr>
          <w:p w14:paraId="3E7078D0" w14:textId="7848AB4D" w:rsidR="002A2D8D" w:rsidRPr="00272501" w:rsidRDefault="002A2D8D" w:rsidP="002A2D8D">
            <w:pPr>
              <w:jc w:val="center"/>
            </w:pPr>
            <w:r>
              <w:rPr>
                <w:rFonts w:ascii="Calibri" w:eastAsia="Times New Roman" w:hAnsi="Calibri" w:cs="Calibri"/>
                <w:color w:val="000000"/>
                <w:u w:val="single"/>
              </w:rPr>
              <w:t>1</w:t>
            </w:r>
            <w:r w:rsidR="00F870F0">
              <w:rPr>
                <w:rFonts w:ascii="Calibri" w:eastAsia="Times New Roman" w:hAnsi="Calibri" w:cs="Calibri"/>
                <w:color w:val="000000"/>
                <w:u w:val="single"/>
              </w:rPr>
              <w:t>1.81</w:t>
            </w:r>
            <w:r w:rsidRPr="00C815E4">
              <w:rPr>
                <w:rFonts w:ascii="Calibri" w:eastAsia="Times New Roman" w:hAnsi="Calibri" w:cs="Calibri"/>
                <w:color w:val="000000"/>
                <w:u w:val="single"/>
              </w:rPr>
              <w:t>%</w:t>
            </w:r>
          </w:p>
        </w:tc>
      </w:tr>
      <w:tr w:rsidR="002A2D8D" w:rsidRPr="00272501" w14:paraId="73EB5495" w14:textId="77777777" w:rsidTr="008B175B">
        <w:trPr>
          <w:trHeight w:val="540"/>
        </w:trPr>
        <w:tc>
          <w:tcPr>
            <w:tcW w:w="4050" w:type="dxa"/>
            <w:vAlign w:val="bottom"/>
          </w:tcPr>
          <w:p w14:paraId="180C3D9F" w14:textId="04FF54C3" w:rsidR="002A2D8D" w:rsidRPr="007740A0" w:rsidRDefault="002A2D8D" w:rsidP="002A2D8D">
            <w:r w:rsidRPr="007740A0">
              <w:rPr>
                <w:rFonts w:ascii="Calibri" w:eastAsia="Times New Roman" w:hAnsi="Calibri" w:cs="Calibri"/>
                <w:color w:val="000000"/>
              </w:rPr>
              <w:t xml:space="preserve">Total </w:t>
            </w:r>
            <w:r w:rsidR="00427E4B" w:rsidRPr="007740A0">
              <w:rPr>
                <w:rFonts w:ascii="Calibri" w:eastAsia="Times New Roman" w:hAnsi="Calibri" w:cs="Calibri"/>
                <w:color w:val="000000"/>
              </w:rPr>
              <w:t xml:space="preserve">Summer </w:t>
            </w:r>
            <w:r w:rsidRPr="007740A0">
              <w:rPr>
                <w:rFonts w:ascii="Calibri" w:eastAsia="Times New Roman" w:hAnsi="Calibri" w:cs="Calibri"/>
                <w:color w:val="000000"/>
              </w:rPr>
              <w:t xml:space="preserve">Salary </w:t>
            </w:r>
            <w:r w:rsidR="00427E4B" w:rsidRPr="007740A0">
              <w:rPr>
                <w:rFonts w:ascii="Calibri" w:eastAsia="Times New Roman" w:hAnsi="Calibri" w:cs="Calibri"/>
                <w:color w:val="000000"/>
              </w:rPr>
              <w:t>Charged to Project</w:t>
            </w:r>
          </w:p>
        </w:tc>
        <w:tc>
          <w:tcPr>
            <w:tcW w:w="2160" w:type="dxa"/>
            <w:vAlign w:val="bottom"/>
          </w:tcPr>
          <w:p w14:paraId="28A4B855" w14:textId="21C637E9" w:rsidR="002A2D8D" w:rsidRPr="007740A0" w:rsidRDefault="002A2D8D" w:rsidP="00AB4A8C">
            <w:pPr>
              <w:ind w:right="144"/>
              <w:jc w:val="right"/>
            </w:pPr>
            <w:r w:rsidRPr="007740A0">
              <w:rPr>
                <w:rFonts w:ascii="Calibri" w:eastAsia="Times New Roman" w:hAnsi="Calibri" w:cs="Calibri"/>
                <w:color w:val="000000"/>
              </w:rPr>
              <w:t>$              2</w:t>
            </w:r>
            <w:r w:rsidR="00F870F0">
              <w:rPr>
                <w:rFonts w:ascii="Calibri" w:eastAsia="Times New Roman" w:hAnsi="Calibri" w:cs="Calibri"/>
                <w:color w:val="000000"/>
              </w:rPr>
              <w:t>2,500</w:t>
            </w:r>
            <w:r w:rsidRPr="007740A0">
              <w:rPr>
                <w:rFonts w:ascii="Calibri" w:eastAsia="Times New Roman" w:hAnsi="Calibri" w:cs="Calibri"/>
                <w:color w:val="000000"/>
              </w:rPr>
              <w:t>.00</w:t>
            </w:r>
          </w:p>
        </w:tc>
        <w:tc>
          <w:tcPr>
            <w:tcW w:w="1080" w:type="dxa"/>
            <w:vAlign w:val="bottom"/>
          </w:tcPr>
          <w:p w14:paraId="524057DD" w14:textId="677B97D1" w:rsidR="002A2D8D" w:rsidRPr="007740A0" w:rsidRDefault="002A2D8D" w:rsidP="002A2D8D">
            <w:pPr>
              <w:jc w:val="center"/>
            </w:pPr>
            <w:r w:rsidRPr="007740A0">
              <w:rPr>
                <w:rFonts w:ascii="Calibri" w:eastAsia="Times New Roman" w:hAnsi="Calibri" w:cs="Calibri"/>
                <w:color w:val="000000"/>
              </w:rPr>
              <w:t>50.00%</w:t>
            </w:r>
          </w:p>
        </w:tc>
      </w:tr>
    </w:tbl>
    <w:p w14:paraId="261EB3A0" w14:textId="07E1E54D" w:rsidR="00643986" w:rsidRPr="00C815E4" w:rsidRDefault="00E25341" w:rsidP="009E5406">
      <w:pPr>
        <w:spacing w:before="520" w:after="0"/>
        <w:rPr>
          <w:b/>
          <w:bCs/>
        </w:rPr>
      </w:pPr>
      <w:r w:rsidRPr="00C815E4">
        <w:rPr>
          <w:b/>
          <w:bCs/>
        </w:rPr>
        <w:t xml:space="preserve">The Unallowable </w:t>
      </w:r>
      <w:r w:rsidR="00A84C2F" w:rsidRPr="00C815E4">
        <w:rPr>
          <w:b/>
          <w:bCs/>
        </w:rPr>
        <w:t xml:space="preserve">Summer Salary </w:t>
      </w:r>
      <w:r w:rsidRPr="00C815E4">
        <w:rPr>
          <w:b/>
          <w:bCs/>
        </w:rPr>
        <w:t>Amount must be reallocated to an INSxx subaccount.</w:t>
      </w:r>
    </w:p>
    <w:sectPr w:rsidR="00643986" w:rsidRPr="00C815E4"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ABF5" w14:textId="77777777" w:rsidR="00CA691F" w:rsidRDefault="00CA691F" w:rsidP="00D36EE5">
      <w:pPr>
        <w:spacing w:after="0" w:line="240" w:lineRule="auto"/>
      </w:pPr>
    </w:p>
  </w:endnote>
  <w:endnote w:type="continuationSeparator" w:id="0">
    <w:p w14:paraId="71D21808" w14:textId="77777777" w:rsidR="00CA691F" w:rsidRDefault="00CA691F" w:rsidP="00D36EE5">
      <w:pPr>
        <w:spacing w:after="0" w:line="240" w:lineRule="auto"/>
      </w:pPr>
      <w:r>
        <w:continuationSeparator/>
      </w:r>
    </w:p>
  </w:endnote>
  <w:endnote w:id="1">
    <w:p w14:paraId="24555E9B" w14:textId="610CC493" w:rsidR="00734C95" w:rsidRPr="00745F56" w:rsidRDefault="00734C95" w:rsidP="005D0C26">
      <w:pPr>
        <w:pStyle w:val="EndnoteText"/>
        <w:spacing w:after="240"/>
        <w:rPr>
          <w:lang w:val="en-GB"/>
        </w:rPr>
      </w:pPr>
      <w:r w:rsidRPr="00745F56">
        <w:rPr>
          <w:rStyle w:val="EndnoteReference"/>
        </w:rPr>
        <w:sym w:font="Symbol" w:char="F02A"/>
      </w:r>
      <w:r>
        <w:t xml:space="preserve"> </w:t>
      </w:r>
      <w:r w:rsidRPr="00C815E4">
        <w:t xml:space="preserve">For awards subject to the NIH Salary Limitation, at Indiana University the Academic 10-Pay Salary Limitation is 75% of the announced NIH Salary Limitation. (e.g. Effective January </w:t>
      </w:r>
      <w:r w:rsidR="005F26C0">
        <w:t>1</w:t>
      </w:r>
      <w:r w:rsidRPr="00C815E4">
        <w:t>, 202</w:t>
      </w:r>
      <w:r w:rsidR="00F870F0">
        <w:t>4</w:t>
      </w:r>
      <w:r w:rsidRPr="00C815E4">
        <w:t xml:space="preserve">, </w:t>
      </w:r>
      <w:r w:rsidR="001A5D64" w:rsidRPr="001A5D64">
        <w:t>$2</w:t>
      </w:r>
      <w:r w:rsidR="00F870F0">
        <w:t>21,900</w:t>
      </w:r>
      <w:r w:rsidR="005F26C0">
        <w:t>.00</w:t>
      </w:r>
      <w:r w:rsidR="001A5D64">
        <w:t xml:space="preserve"> </w:t>
      </w:r>
      <w:r>
        <w:rPr>
          <w:rFonts w:ascii="Times New Roman" w:hAnsi="Times New Roman" w:cs="Times New Roman"/>
        </w:rPr>
        <w:t>×</w:t>
      </w:r>
      <w:r w:rsidRPr="00C815E4">
        <w:t xml:space="preserve"> 75% = </w:t>
      </w:r>
      <w:r w:rsidR="005F26C0" w:rsidRPr="005F26C0">
        <w:t>$1</w:t>
      </w:r>
      <w:r w:rsidR="00F870F0">
        <w:t>66,42</w:t>
      </w:r>
      <w:r w:rsidR="005F26C0" w:rsidRPr="005F26C0">
        <w:t>5</w:t>
      </w:r>
      <w:r w:rsidRPr="00C815E4">
        <w:t>.00)</w:t>
      </w:r>
    </w:p>
  </w:endnote>
  <w:endnote w:id="2">
    <w:p w14:paraId="607589C3" w14:textId="622F1182" w:rsidR="00FA5526" w:rsidRPr="00AB1C2F" w:rsidRDefault="00FA5526" w:rsidP="00AB1C2F">
      <w:pPr>
        <w:spacing w:after="240"/>
        <w:rPr>
          <w:sz w:val="20"/>
          <w:szCs w:val="20"/>
        </w:rPr>
      </w:pPr>
      <w:r>
        <w:rPr>
          <w:rStyle w:val="EndnoteReference"/>
        </w:rPr>
        <w:t>**</w:t>
      </w:r>
      <w:r>
        <w:t xml:space="preserve"> </w:t>
      </w:r>
      <w:r w:rsidRPr="00C815E4">
        <w:rPr>
          <w:sz w:val="20"/>
          <w:szCs w:val="20"/>
        </w:rPr>
        <w:t xml:space="preserve">IU Policy - </w:t>
      </w:r>
      <w:hyperlink r:id="rId1" w:history="1">
        <w:r w:rsidRPr="00C815E4">
          <w:rPr>
            <w:rStyle w:val="Hyperlink"/>
            <w:sz w:val="20"/>
            <w:szCs w:val="20"/>
          </w:rPr>
          <w:t>Summer Salary from Sponsored Program Accounts SPA-11-015</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481D" w14:textId="77777777" w:rsidR="00CA691F" w:rsidRDefault="00CA691F" w:rsidP="00D36EE5">
      <w:pPr>
        <w:spacing w:after="0" w:line="240" w:lineRule="auto"/>
      </w:pPr>
      <w:r>
        <w:separator/>
      </w:r>
    </w:p>
  </w:footnote>
  <w:footnote w:type="continuationSeparator" w:id="0">
    <w:p w14:paraId="7913B19C" w14:textId="77777777" w:rsidR="00CA691F" w:rsidRDefault="00CA691F"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32803"/>
    <w:multiLevelType w:val="hybridMultilevel"/>
    <w:tmpl w:val="7ABC0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C2471"/>
    <w:multiLevelType w:val="hybridMultilevel"/>
    <w:tmpl w:val="97B8E9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517742931">
    <w:abstractNumId w:val="6"/>
  </w:num>
  <w:num w:numId="2" w16cid:durableId="1455516216">
    <w:abstractNumId w:val="0"/>
  </w:num>
  <w:num w:numId="3" w16cid:durableId="1229027738">
    <w:abstractNumId w:val="4"/>
  </w:num>
  <w:num w:numId="4" w16cid:durableId="1301421267">
    <w:abstractNumId w:val="2"/>
  </w:num>
  <w:num w:numId="5" w16cid:durableId="988091186">
    <w:abstractNumId w:val="5"/>
  </w:num>
  <w:num w:numId="6" w16cid:durableId="1073964992">
    <w:abstractNumId w:val="3"/>
  </w:num>
  <w:num w:numId="7" w16cid:durableId="213918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05F7A"/>
    <w:rsid w:val="0001260C"/>
    <w:rsid w:val="000246BD"/>
    <w:rsid w:val="000247D2"/>
    <w:rsid w:val="00025A6A"/>
    <w:rsid w:val="00053377"/>
    <w:rsid w:val="00083C47"/>
    <w:rsid w:val="00083E8C"/>
    <w:rsid w:val="00091867"/>
    <w:rsid w:val="00093BDB"/>
    <w:rsid w:val="000B1C2E"/>
    <w:rsid w:val="000B6955"/>
    <w:rsid w:val="000D47C2"/>
    <w:rsid w:val="000E1B0A"/>
    <w:rsid w:val="000E5519"/>
    <w:rsid w:val="000F0388"/>
    <w:rsid w:val="000F0C0C"/>
    <w:rsid w:val="00107926"/>
    <w:rsid w:val="0011454C"/>
    <w:rsid w:val="001353BB"/>
    <w:rsid w:val="00157FB7"/>
    <w:rsid w:val="00160771"/>
    <w:rsid w:val="00162833"/>
    <w:rsid w:val="00164BB5"/>
    <w:rsid w:val="00167E13"/>
    <w:rsid w:val="0017735A"/>
    <w:rsid w:val="001A4C2F"/>
    <w:rsid w:val="001A5D64"/>
    <w:rsid w:val="001A728E"/>
    <w:rsid w:val="001C13F6"/>
    <w:rsid w:val="001D6760"/>
    <w:rsid w:val="001E2178"/>
    <w:rsid w:val="001E21D4"/>
    <w:rsid w:val="001E3FD2"/>
    <w:rsid w:val="001F4789"/>
    <w:rsid w:val="002263F0"/>
    <w:rsid w:val="00234ABB"/>
    <w:rsid w:val="00262140"/>
    <w:rsid w:val="002627C7"/>
    <w:rsid w:val="0026443C"/>
    <w:rsid w:val="00272501"/>
    <w:rsid w:val="00283018"/>
    <w:rsid w:val="002851D3"/>
    <w:rsid w:val="002869E7"/>
    <w:rsid w:val="0029018C"/>
    <w:rsid w:val="00294F4D"/>
    <w:rsid w:val="00296721"/>
    <w:rsid w:val="002A2BB8"/>
    <w:rsid w:val="002A2D8D"/>
    <w:rsid w:val="002C6C5E"/>
    <w:rsid w:val="002D4958"/>
    <w:rsid w:val="002F1D07"/>
    <w:rsid w:val="002F45C3"/>
    <w:rsid w:val="00310159"/>
    <w:rsid w:val="003116D5"/>
    <w:rsid w:val="00343F14"/>
    <w:rsid w:val="00363C14"/>
    <w:rsid w:val="00380FDD"/>
    <w:rsid w:val="00382F09"/>
    <w:rsid w:val="003A045D"/>
    <w:rsid w:val="003A11C4"/>
    <w:rsid w:val="003B5B4E"/>
    <w:rsid w:val="003F2836"/>
    <w:rsid w:val="003F639E"/>
    <w:rsid w:val="00405CA1"/>
    <w:rsid w:val="00410CF2"/>
    <w:rsid w:val="004271F1"/>
    <w:rsid w:val="00427E4B"/>
    <w:rsid w:val="0044051D"/>
    <w:rsid w:val="004460FD"/>
    <w:rsid w:val="004617C5"/>
    <w:rsid w:val="004A3FD6"/>
    <w:rsid w:val="004A43D9"/>
    <w:rsid w:val="004B0D5A"/>
    <w:rsid w:val="004B3783"/>
    <w:rsid w:val="004B5E5A"/>
    <w:rsid w:val="004D24D5"/>
    <w:rsid w:val="004F3032"/>
    <w:rsid w:val="00500715"/>
    <w:rsid w:val="00526E5C"/>
    <w:rsid w:val="005362EE"/>
    <w:rsid w:val="00555305"/>
    <w:rsid w:val="0057282F"/>
    <w:rsid w:val="005734CD"/>
    <w:rsid w:val="0058496B"/>
    <w:rsid w:val="00595755"/>
    <w:rsid w:val="005A4116"/>
    <w:rsid w:val="005A48A7"/>
    <w:rsid w:val="005B214F"/>
    <w:rsid w:val="005B5832"/>
    <w:rsid w:val="005B76C3"/>
    <w:rsid w:val="005D0C26"/>
    <w:rsid w:val="005E1B23"/>
    <w:rsid w:val="005E49FE"/>
    <w:rsid w:val="005F26C0"/>
    <w:rsid w:val="005F733D"/>
    <w:rsid w:val="0061638B"/>
    <w:rsid w:val="00623436"/>
    <w:rsid w:val="006366EA"/>
    <w:rsid w:val="00641A49"/>
    <w:rsid w:val="00643986"/>
    <w:rsid w:val="006541F5"/>
    <w:rsid w:val="006831E5"/>
    <w:rsid w:val="006B64B1"/>
    <w:rsid w:val="006C118C"/>
    <w:rsid w:val="006C6511"/>
    <w:rsid w:val="006C6E3C"/>
    <w:rsid w:val="006D0DAE"/>
    <w:rsid w:val="006D2D7E"/>
    <w:rsid w:val="006E22D7"/>
    <w:rsid w:val="006E4906"/>
    <w:rsid w:val="006E7DC0"/>
    <w:rsid w:val="00701760"/>
    <w:rsid w:val="00717D0A"/>
    <w:rsid w:val="00734C95"/>
    <w:rsid w:val="00737A81"/>
    <w:rsid w:val="00745F56"/>
    <w:rsid w:val="007572D8"/>
    <w:rsid w:val="00765A46"/>
    <w:rsid w:val="00767BBB"/>
    <w:rsid w:val="00771C8C"/>
    <w:rsid w:val="00773191"/>
    <w:rsid w:val="007740A0"/>
    <w:rsid w:val="00776BE2"/>
    <w:rsid w:val="007A4267"/>
    <w:rsid w:val="007A4CDF"/>
    <w:rsid w:val="007A6CCF"/>
    <w:rsid w:val="007C18B4"/>
    <w:rsid w:val="007C6B1A"/>
    <w:rsid w:val="007D0D20"/>
    <w:rsid w:val="00803E47"/>
    <w:rsid w:val="00845572"/>
    <w:rsid w:val="00854980"/>
    <w:rsid w:val="0085578F"/>
    <w:rsid w:val="00890A09"/>
    <w:rsid w:val="008916C5"/>
    <w:rsid w:val="008B0181"/>
    <w:rsid w:val="008B175B"/>
    <w:rsid w:val="008B7FD0"/>
    <w:rsid w:val="008D565A"/>
    <w:rsid w:val="008E28D1"/>
    <w:rsid w:val="0090143D"/>
    <w:rsid w:val="00913E0F"/>
    <w:rsid w:val="0092082C"/>
    <w:rsid w:val="009403F8"/>
    <w:rsid w:val="00942025"/>
    <w:rsid w:val="00953FA9"/>
    <w:rsid w:val="0095413A"/>
    <w:rsid w:val="00971A25"/>
    <w:rsid w:val="009834AB"/>
    <w:rsid w:val="00984AF9"/>
    <w:rsid w:val="00984C17"/>
    <w:rsid w:val="009906E6"/>
    <w:rsid w:val="0099159A"/>
    <w:rsid w:val="00992152"/>
    <w:rsid w:val="009B10E2"/>
    <w:rsid w:val="009B70E4"/>
    <w:rsid w:val="009E16EB"/>
    <w:rsid w:val="009E1C00"/>
    <w:rsid w:val="009E5406"/>
    <w:rsid w:val="009E5E7A"/>
    <w:rsid w:val="009F5CA5"/>
    <w:rsid w:val="00A10D18"/>
    <w:rsid w:val="00A12AC7"/>
    <w:rsid w:val="00A17425"/>
    <w:rsid w:val="00A22890"/>
    <w:rsid w:val="00A2351A"/>
    <w:rsid w:val="00A32A1A"/>
    <w:rsid w:val="00A33FCE"/>
    <w:rsid w:val="00A773F6"/>
    <w:rsid w:val="00A84C2F"/>
    <w:rsid w:val="00A86582"/>
    <w:rsid w:val="00AB1C2F"/>
    <w:rsid w:val="00AB24BD"/>
    <w:rsid w:val="00AB2E9A"/>
    <w:rsid w:val="00AB4A8C"/>
    <w:rsid w:val="00AC5751"/>
    <w:rsid w:val="00AC6C96"/>
    <w:rsid w:val="00AD3DAA"/>
    <w:rsid w:val="00AE0D4E"/>
    <w:rsid w:val="00AE2230"/>
    <w:rsid w:val="00B13230"/>
    <w:rsid w:val="00B13CF9"/>
    <w:rsid w:val="00B15731"/>
    <w:rsid w:val="00B247FF"/>
    <w:rsid w:val="00B276E7"/>
    <w:rsid w:val="00B3446F"/>
    <w:rsid w:val="00B54236"/>
    <w:rsid w:val="00B74D06"/>
    <w:rsid w:val="00B901AD"/>
    <w:rsid w:val="00BA5BE4"/>
    <w:rsid w:val="00BB0DF3"/>
    <w:rsid w:val="00BB36F9"/>
    <w:rsid w:val="00BB38A5"/>
    <w:rsid w:val="00BC2AB6"/>
    <w:rsid w:val="00BE15C1"/>
    <w:rsid w:val="00BE1D7E"/>
    <w:rsid w:val="00C06358"/>
    <w:rsid w:val="00C07D3C"/>
    <w:rsid w:val="00C16A4B"/>
    <w:rsid w:val="00C26494"/>
    <w:rsid w:val="00C303B9"/>
    <w:rsid w:val="00C36EAB"/>
    <w:rsid w:val="00C37AB2"/>
    <w:rsid w:val="00C532FF"/>
    <w:rsid w:val="00C77D9B"/>
    <w:rsid w:val="00C815E4"/>
    <w:rsid w:val="00C8382E"/>
    <w:rsid w:val="00C84B7B"/>
    <w:rsid w:val="00CA2B64"/>
    <w:rsid w:val="00CA4050"/>
    <w:rsid w:val="00CA691F"/>
    <w:rsid w:val="00CB4D1A"/>
    <w:rsid w:val="00CB6D21"/>
    <w:rsid w:val="00CD5706"/>
    <w:rsid w:val="00CE40ED"/>
    <w:rsid w:val="00CE6F86"/>
    <w:rsid w:val="00CE712B"/>
    <w:rsid w:val="00CF031E"/>
    <w:rsid w:val="00CF134E"/>
    <w:rsid w:val="00CF50D2"/>
    <w:rsid w:val="00D0313F"/>
    <w:rsid w:val="00D04BDA"/>
    <w:rsid w:val="00D057D1"/>
    <w:rsid w:val="00D11DDE"/>
    <w:rsid w:val="00D158EE"/>
    <w:rsid w:val="00D26B3E"/>
    <w:rsid w:val="00D31651"/>
    <w:rsid w:val="00D36EE5"/>
    <w:rsid w:val="00D51232"/>
    <w:rsid w:val="00D64505"/>
    <w:rsid w:val="00D73697"/>
    <w:rsid w:val="00D8190B"/>
    <w:rsid w:val="00DA10FF"/>
    <w:rsid w:val="00DB51E0"/>
    <w:rsid w:val="00DC457C"/>
    <w:rsid w:val="00DD4845"/>
    <w:rsid w:val="00DD7DC2"/>
    <w:rsid w:val="00DE0CE9"/>
    <w:rsid w:val="00DF0EC6"/>
    <w:rsid w:val="00E04D87"/>
    <w:rsid w:val="00E15D83"/>
    <w:rsid w:val="00E228D8"/>
    <w:rsid w:val="00E25341"/>
    <w:rsid w:val="00E25AC8"/>
    <w:rsid w:val="00E335C4"/>
    <w:rsid w:val="00E36584"/>
    <w:rsid w:val="00E55CE3"/>
    <w:rsid w:val="00E564B0"/>
    <w:rsid w:val="00E665C2"/>
    <w:rsid w:val="00E83448"/>
    <w:rsid w:val="00E83507"/>
    <w:rsid w:val="00ED041A"/>
    <w:rsid w:val="00ED314E"/>
    <w:rsid w:val="00EF4F04"/>
    <w:rsid w:val="00EF6520"/>
    <w:rsid w:val="00F05D6B"/>
    <w:rsid w:val="00F20776"/>
    <w:rsid w:val="00F23A2C"/>
    <w:rsid w:val="00F25C16"/>
    <w:rsid w:val="00F27407"/>
    <w:rsid w:val="00F34F89"/>
    <w:rsid w:val="00F44A42"/>
    <w:rsid w:val="00F511F2"/>
    <w:rsid w:val="00F64293"/>
    <w:rsid w:val="00F75434"/>
    <w:rsid w:val="00F75903"/>
    <w:rsid w:val="00F81431"/>
    <w:rsid w:val="00F870F0"/>
    <w:rsid w:val="00FA26F8"/>
    <w:rsid w:val="00FA5526"/>
    <w:rsid w:val="00FC4673"/>
    <w:rsid w:val="00FE317A"/>
    <w:rsid w:val="00FF24AA"/>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C532FF"/>
    <w:pPr>
      <w:spacing w:after="240"/>
      <w:jc w:val="center"/>
      <w:outlineLvl w:val="0"/>
    </w:pPr>
    <w:rPr>
      <w:b/>
      <w:bCs/>
      <w:sz w:val="32"/>
      <w:szCs w:val="32"/>
    </w:rPr>
  </w:style>
  <w:style w:type="paragraph" w:styleId="Heading2">
    <w:name w:val="heading 2"/>
    <w:basedOn w:val="Default"/>
    <w:next w:val="Normal"/>
    <w:link w:val="Heading2Char"/>
    <w:uiPriority w:val="9"/>
    <w:unhideWhenUsed/>
    <w:qFormat/>
    <w:rsid w:val="001E3FD2"/>
    <w:pPr>
      <w:spacing w:before="1440"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C532FF"/>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1E3FD2"/>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 w:type="paragraph" w:styleId="EndnoteText">
    <w:name w:val="endnote text"/>
    <w:basedOn w:val="Normal"/>
    <w:link w:val="EndnoteTextChar"/>
    <w:uiPriority w:val="99"/>
    <w:semiHidden/>
    <w:unhideWhenUsed/>
    <w:rsid w:val="00745F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F56"/>
    <w:rPr>
      <w:sz w:val="20"/>
      <w:szCs w:val="20"/>
    </w:rPr>
  </w:style>
  <w:style w:type="character" w:styleId="EndnoteReference">
    <w:name w:val="endnote reference"/>
    <w:basedOn w:val="DefaultParagraphFont"/>
    <w:uiPriority w:val="99"/>
    <w:semiHidden/>
    <w:unhideWhenUsed/>
    <w:rsid w:val="00745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42">
      <w:bodyDiv w:val="1"/>
      <w:marLeft w:val="0"/>
      <w:marRight w:val="0"/>
      <w:marTop w:val="0"/>
      <w:marBottom w:val="0"/>
      <w:divBdr>
        <w:top w:val="none" w:sz="0" w:space="0" w:color="auto"/>
        <w:left w:val="none" w:sz="0" w:space="0" w:color="auto"/>
        <w:bottom w:val="none" w:sz="0" w:space="0" w:color="auto"/>
        <w:right w:val="none" w:sz="0" w:space="0" w:color="auto"/>
      </w:divBdr>
    </w:div>
    <w:div w:id="718360568">
      <w:bodyDiv w:val="1"/>
      <w:marLeft w:val="0"/>
      <w:marRight w:val="0"/>
      <w:marTop w:val="0"/>
      <w:marBottom w:val="0"/>
      <w:divBdr>
        <w:top w:val="none" w:sz="0" w:space="0" w:color="auto"/>
        <w:left w:val="none" w:sz="0" w:space="0" w:color="auto"/>
        <w:bottom w:val="none" w:sz="0" w:space="0" w:color="auto"/>
        <w:right w:val="none" w:sz="0" w:space="0" w:color="auto"/>
      </w:divBdr>
    </w:div>
    <w:div w:id="1199470968">
      <w:bodyDiv w:val="1"/>
      <w:marLeft w:val="0"/>
      <w:marRight w:val="0"/>
      <w:marTop w:val="0"/>
      <w:marBottom w:val="0"/>
      <w:divBdr>
        <w:top w:val="none" w:sz="0" w:space="0" w:color="auto"/>
        <w:left w:val="none" w:sz="0" w:space="0" w:color="auto"/>
        <w:bottom w:val="none" w:sz="0" w:space="0" w:color="auto"/>
        <w:right w:val="none" w:sz="0" w:space="0" w:color="auto"/>
      </w:divBdr>
    </w:div>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 w:id="2117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about/agencies/hhs-agencies-and-office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policies.iu.edu/policies/spa-11-015-summer-salary-sponsored-program-accou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5" ma:contentTypeDescription="Create a new document." ma:contentTypeScope="" ma:versionID="2d1174a089254d74b704b9d0d43840a9">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5e0f98e231f15079a237255e436d33a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2.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3.xml><?xml version="1.0" encoding="utf-8"?>
<ds:datastoreItem xmlns:ds="http://schemas.openxmlformats.org/officeDocument/2006/customXml" ds:itemID="{46453D3C-1488-45F2-B699-42E56278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Salary Cap Determination for 10-Month Employees</vt:lpstr>
    </vt:vector>
  </TitlesOfParts>
  <Company>Office of Research Administration - RSTS</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Cap Determination for 10-Month Employees</dc:title>
  <dc:subject/>
  <dc:creator>Amerine, Rayna</dc:creator>
  <cp:keywords/>
  <dc:description/>
  <cp:lastModifiedBy>Burris, Timothy Hoyt</cp:lastModifiedBy>
  <cp:revision>4</cp:revision>
  <dcterms:created xsi:type="dcterms:W3CDTF">2024-07-11T13:18:00Z</dcterms:created>
  <dcterms:modified xsi:type="dcterms:W3CDTF">2024-07-11T17:38:00Z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