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B50F" w14:textId="6BE616B8" w:rsidR="002A2BB8" w:rsidRPr="006366EA" w:rsidRDefault="00D057D1" w:rsidP="004A43D9">
      <w:pPr>
        <w:pStyle w:val="Heading1"/>
        <w:jc w:val="center"/>
      </w:pPr>
      <w:r w:rsidRPr="00D057D1">
        <w:t xml:space="preserve">National </w:t>
      </w:r>
      <w:r w:rsidRPr="006366EA">
        <w:t>Institutes</w:t>
      </w:r>
      <w:r w:rsidRPr="00D057D1">
        <w:t xml:space="preserve"> of Health (NIH) </w:t>
      </w:r>
      <w:r w:rsidRPr="006366EA">
        <w:t>Salary</w:t>
      </w:r>
      <w:r>
        <w:t xml:space="preserve"> Limitation Guidelines for 10-</w:t>
      </w:r>
      <w:r w:rsidRPr="00D057D1">
        <w:t>Month Employees</w:t>
      </w:r>
    </w:p>
    <w:p w14:paraId="0D8DBD9A" w14:textId="3A3BE854" w:rsidR="00160771" w:rsidRPr="006366EA" w:rsidRDefault="00D057D1" w:rsidP="006366EA">
      <w:pPr>
        <w:pStyle w:val="Default"/>
        <w:spacing w:after="240"/>
        <w:rPr>
          <w:bCs/>
        </w:rPr>
      </w:pPr>
      <w:r>
        <w:rPr>
          <w:b/>
          <w:bCs/>
        </w:rPr>
        <w:t>Salary Limitation (10-m</w:t>
      </w:r>
      <w:r w:rsidR="003116D5" w:rsidRPr="003116D5">
        <w:rPr>
          <w:b/>
          <w:bCs/>
        </w:rPr>
        <w:t>onth)</w:t>
      </w:r>
      <w:r w:rsidR="003116D5" w:rsidRPr="003116D5">
        <w:rPr>
          <w:b/>
          <w:bCs/>
        </w:rPr>
        <w:tab/>
      </w:r>
      <w:r w:rsidR="003116D5" w:rsidRPr="003116D5">
        <w:rPr>
          <w:b/>
          <w:bCs/>
        </w:rPr>
        <w:tab/>
      </w:r>
      <w:r w:rsidR="000247D2" w:rsidRPr="000247D2">
        <w:rPr>
          <w:bCs/>
        </w:rPr>
        <w:t xml:space="preserve">January </w:t>
      </w:r>
      <w:r w:rsidR="00E228D8">
        <w:rPr>
          <w:bCs/>
        </w:rPr>
        <w:t>3</w:t>
      </w:r>
      <w:r w:rsidR="000247D2" w:rsidRPr="000247D2">
        <w:rPr>
          <w:bCs/>
        </w:rPr>
        <w:t>, 202</w:t>
      </w:r>
      <w:r w:rsidR="00E228D8">
        <w:rPr>
          <w:bCs/>
        </w:rPr>
        <w:t>1</w:t>
      </w:r>
      <w:r w:rsidR="000247D2" w:rsidRPr="000247D2">
        <w:rPr>
          <w:bCs/>
        </w:rPr>
        <w:t xml:space="preserve"> through September 30, 202</w:t>
      </w:r>
      <w:r w:rsidR="00E228D8">
        <w:rPr>
          <w:bCs/>
        </w:rPr>
        <w:t>1</w:t>
      </w:r>
      <w:r w:rsidR="000247D2" w:rsidRPr="000247D2">
        <w:rPr>
          <w:bCs/>
        </w:rPr>
        <w:t xml:space="preserve"> </w:t>
      </w:r>
      <w:r w:rsidR="003116D5" w:rsidRPr="003116D5">
        <w:rPr>
          <w:bCs/>
        </w:rPr>
        <w:t xml:space="preserve">(Executive Level II) </w:t>
      </w:r>
      <w:r w:rsidR="003116D5" w:rsidRPr="003116D5">
        <w:rPr>
          <w:bCs/>
        </w:rPr>
        <w:tab/>
        <w:t>$</w:t>
      </w:r>
      <w:r w:rsidR="00A32A1A">
        <w:rPr>
          <w:bCs/>
        </w:rPr>
        <w:t>14</w:t>
      </w:r>
      <w:r w:rsidR="00E228D8">
        <w:rPr>
          <w:bCs/>
        </w:rPr>
        <w:t>9,4</w:t>
      </w:r>
      <w:r w:rsidR="000247D2">
        <w:rPr>
          <w:bCs/>
        </w:rPr>
        <w:t>75</w:t>
      </w:r>
      <w:r w:rsidR="00A32A1A">
        <w:rPr>
          <w:bCs/>
        </w:rPr>
        <w:t>.00</w:t>
      </w:r>
    </w:p>
    <w:p w14:paraId="09407DDF" w14:textId="3C958A0B" w:rsidR="003116D5" w:rsidRPr="00DE0CE9" w:rsidRDefault="003116D5" w:rsidP="00DE0CE9">
      <w:pPr>
        <w:spacing w:after="240"/>
        <w:ind w:left="3600" w:hanging="3600"/>
        <w:rPr>
          <w:bCs/>
          <w:sz w:val="24"/>
          <w:szCs w:val="24"/>
        </w:rPr>
      </w:pPr>
      <w:r w:rsidRPr="003116D5">
        <w:rPr>
          <w:b/>
          <w:bCs/>
          <w:sz w:val="24"/>
          <w:szCs w:val="24"/>
        </w:rPr>
        <w:t>Applies to</w:t>
      </w:r>
      <w:r w:rsidRPr="003116D5">
        <w:rPr>
          <w:b/>
          <w:bCs/>
          <w:sz w:val="24"/>
          <w:szCs w:val="24"/>
        </w:rPr>
        <w:tab/>
      </w:r>
      <w:r w:rsidR="00EF6520" w:rsidRPr="00EF6520">
        <w:rPr>
          <w:bCs/>
          <w:sz w:val="24"/>
          <w:szCs w:val="24"/>
        </w:rPr>
        <w:t xml:space="preserve">All Health and Human Services (HHS) agencies. A listing of HHS agencies can be found at the following link: </w:t>
      </w:r>
      <w:hyperlink r:id="rId11" w:tooltip="U.S. Department of Health and Human Services Listing of Agencies and Offices" w:history="1">
        <w:r w:rsidR="00EF6520" w:rsidRPr="00EF6520">
          <w:rPr>
            <w:rStyle w:val="Hyperlink"/>
            <w:bCs/>
            <w:sz w:val="24"/>
            <w:szCs w:val="24"/>
          </w:rPr>
          <w:t>https://www.hhs.gov/about/agencies/hhs-agencies-and-offices/index.html</w:t>
        </w:r>
      </w:hyperlink>
    </w:p>
    <w:p w14:paraId="0A299CD8" w14:textId="13078550" w:rsidR="00A10D18" w:rsidRDefault="00A10D18" w:rsidP="00B3446F">
      <w:pPr>
        <w:pStyle w:val="Heading2"/>
        <w:spacing w:before="0"/>
      </w:pPr>
      <w:r>
        <w:t xml:space="preserve">Sample </w:t>
      </w:r>
      <w:r w:rsidRPr="006366EA">
        <w:t>Calculation</w:t>
      </w:r>
      <w:r>
        <w:t xml:space="preserve"> of Salary </w:t>
      </w:r>
      <w:r w:rsidR="00D057D1">
        <w:t>Limitation – 10-</w:t>
      </w:r>
      <w:r>
        <w:t>Month Employees</w:t>
      </w:r>
    </w:p>
    <w:p w14:paraId="451E19DB" w14:textId="71734A8D" w:rsidR="00C77D9B" w:rsidRDefault="00C77D9B" w:rsidP="00DF0EC6">
      <w:pPr>
        <w:pStyle w:val="Heading3"/>
      </w:pPr>
      <w:r w:rsidRPr="00A10D18">
        <w:t xml:space="preserve">Salary Limitation Amount Applicable to an </w:t>
      </w:r>
      <w:r w:rsidR="00D057D1">
        <w:t>Award under Executive Level II (</w:t>
      </w:r>
      <w:r w:rsidRPr="00A10D18">
        <w:t>EL2</w:t>
      </w:r>
      <w:r w:rsidR="00D057D1">
        <w:t>)</w:t>
      </w:r>
      <w:r w:rsidRPr="00A10D18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lary Limitation Amount Applicaple to an Award under Executive Level II"/>
        <w:tblDescription w:val="Salary Limitation Amount Applicaple to an Award under Executive Level II"/>
      </w:tblPr>
      <w:tblGrid>
        <w:gridCol w:w="8500"/>
        <w:gridCol w:w="2268"/>
        <w:gridCol w:w="2182"/>
      </w:tblGrid>
      <w:tr w:rsidR="00767BBB" w14:paraId="07C02152" w14:textId="77777777" w:rsidTr="006C118C">
        <w:trPr>
          <w:tblHeader/>
        </w:trPr>
        <w:tc>
          <w:tcPr>
            <w:tcW w:w="8500" w:type="dxa"/>
          </w:tcPr>
          <w:p w14:paraId="5D4F1551" w14:textId="77777777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3DF1A9E1" w14:textId="5821838A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Example 1</w:t>
            </w:r>
          </w:p>
        </w:tc>
        <w:tc>
          <w:tcPr>
            <w:tcW w:w="2182" w:type="dxa"/>
          </w:tcPr>
          <w:p w14:paraId="7B0EF454" w14:textId="0D7E055C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Example 2</w:t>
            </w:r>
          </w:p>
        </w:tc>
      </w:tr>
      <w:tr w:rsidR="00767BBB" w14:paraId="77ECD491" w14:textId="77777777" w:rsidTr="006C118C">
        <w:trPr>
          <w:trHeight w:val="678"/>
          <w:tblHeader/>
        </w:trPr>
        <w:tc>
          <w:tcPr>
            <w:tcW w:w="8500" w:type="dxa"/>
          </w:tcPr>
          <w:p w14:paraId="70CB025B" w14:textId="19F5746D" w:rsidR="00767BBB" w:rsidRDefault="00767BBB" w:rsidP="004B3783">
            <w:pPr>
              <w:pStyle w:val="Default"/>
              <w:spacing w:line="480" w:lineRule="auto"/>
              <w:rPr>
                <w:b/>
                <w:bCs/>
                <w:i/>
                <w:iCs/>
              </w:rPr>
            </w:pPr>
            <w:r w:rsidRPr="0057282F">
              <w:t xml:space="preserve">A. </w:t>
            </w:r>
            <w:r>
              <w:t>10 Month Employee</w:t>
            </w:r>
            <w:r w:rsidRPr="0057282F">
              <w:t xml:space="preserve"> Salary </w:t>
            </w:r>
            <w:r>
              <w:t>(institutional base salary):</w:t>
            </w:r>
          </w:p>
        </w:tc>
        <w:tc>
          <w:tcPr>
            <w:tcW w:w="2268" w:type="dxa"/>
          </w:tcPr>
          <w:p w14:paraId="37264669" w14:textId="2F99016F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>
              <w:t>$160,000.00</w:t>
            </w:r>
          </w:p>
        </w:tc>
        <w:tc>
          <w:tcPr>
            <w:tcW w:w="2182" w:type="dxa"/>
          </w:tcPr>
          <w:p w14:paraId="5267EC9B" w14:textId="7EE53E06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>
              <w:t>$200,000.00</w:t>
            </w:r>
          </w:p>
        </w:tc>
      </w:tr>
      <w:tr w:rsidR="00767BBB" w14:paraId="6D819461" w14:textId="77777777" w:rsidTr="006C118C">
        <w:trPr>
          <w:tblHeader/>
        </w:trPr>
        <w:tc>
          <w:tcPr>
            <w:tcW w:w="8500" w:type="dxa"/>
          </w:tcPr>
          <w:p w14:paraId="53A3ABD8" w14:textId="1282709B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B</w:t>
            </w:r>
            <w:r>
              <w:t>. Annual Salary Limitation</w:t>
            </w:r>
            <w:r w:rsidRPr="0057282F">
              <w:t xml:space="preserve"> (EL2)</w:t>
            </w:r>
            <w:r>
              <w:t>:</w:t>
            </w:r>
          </w:p>
        </w:tc>
        <w:tc>
          <w:tcPr>
            <w:tcW w:w="2268" w:type="dxa"/>
          </w:tcPr>
          <w:p w14:paraId="49047055" w14:textId="5DF816B9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$</w:t>
            </w:r>
            <w:r w:rsidR="000247D2">
              <w:t>14</w:t>
            </w:r>
            <w:r w:rsidR="00E228D8">
              <w:t>9</w:t>
            </w:r>
            <w:r w:rsidR="000247D2">
              <w:t>,</w:t>
            </w:r>
            <w:r w:rsidR="00E228D8">
              <w:t>4</w:t>
            </w:r>
            <w:r w:rsidR="000247D2">
              <w:t>75</w:t>
            </w:r>
            <w:r>
              <w:t>.00</w:t>
            </w:r>
          </w:p>
        </w:tc>
        <w:tc>
          <w:tcPr>
            <w:tcW w:w="2182" w:type="dxa"/>
          </w:tcPr>
          <w:p w14:paraId="4A56582D" w14:textId="57A6EFFE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$</w:t>
            </w:r>
            <w:r w:rsidR="000247D2">
              <w:t>14</w:t>
            </w:r>
            <w:r w:rsidR="00E228D8">
              <w:t>9,4</w:t>
            </w:r>
            <w:r w:rsidR="000247D2">
              <w:t>75</w:t>
            </w:r>
            <w:r>
              <w:t>.00</w:t>
            </w:r>
          </w:p>
        </w:tc>
      </w:tr>
      <w:tr w:rsidR="00767BBB" w14:paraId="15DA4655" w14:textId="77777777" w:rsidTr="006C118C">
        <w:trPr>
          <w:tblHeader/>
        </w:trPr>
        <w:tc>
          <w:tcPr>
            <w:tcW w:w="8500" w:type="dxa"/>
          </w:tcPr>
          <w:p w14:paraId="1F264BDF" w14:textId="14EDA28C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C. Effort on Project</w:t>
            </w:r>
            <w:r>
              <w:t>:</w:t>
            </w:r>
          </w:p>
        </w:tc>
        <w:tc>
          <w:tcPr>
            <w:tcW w:w="2268" w:type="dxa"/>
          </w:tcPr>
          <w:p w14:paraId="1B395C97" w14:textId="620E1C65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25%</w:t>
            </w:r>
          </w:p>
        </w:tc>
        <w:tc>
          <w:tcPr>
            <w:tcW w:w="2182" w:type="dxa"/>
          </w:tcPr>
          <w:p w14:paraId="02A1D7A3" w14:textId="3295D19D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15%</w:t>
            </w:r>
          </w:p>
        </w:tc>
      </w:tr>
      <w:tr w:rsidR="00767BBB" w14:paraId="17D173C7" w14:textId="77777777" w:rsidTr="006C118C">
        <w:trPr>
          <w:tblHeader/>
        </w:trPr>
        <w:tc>
          <w:tcPr>
            <w:tcW w:w="8500" w:type="dxa"/>
          </w:tcPr>
          <w:p w14:paraId="71C8F49C" w14:textId="022BCEEE" w:rsidR="00767BBB" w:rsidRPr="007D0D20" w:rsidRDefault="007D0D20" w:rsidP="00CB4D1A">
            <w:pPr>
              <w:pStyle w:val="Default"/>
              <w:spacing w:after="240"/>
              <w:rPr>
                <w:sz w:val="20"/>
                <w:szCs w:val="20"/>
              </w:rPr>
            </w:pPr>
            <w:r w:rsidRPr="0057282F">
              <w:t xml:space="preserve">D. </w:t>
            </w:r>
            <w:r w:rsidRPr="00D31D99">
              <w:t>Salary Applicable to the Project</w:t>
            </w:r>
            <w:r>
              <w:t>:</w:t>
            </w:r>
            <w:r w:rsidR="00CB4D1A">
              <w:br/>
            </w:r>
            <w:r>
              <w:rPr>
                <w:sz w:val="20"/>
                <w:szCs w:val="20"/>
              </w:rPr>
              <w:t>Institutional Base Salary</w:t>
            </w:r>
            <w:r w:rsidRPr="00F008E5">
              <w:rPr>
                <w:sz w:val="20"/>
                <w:szCs w:val="20"/>
              </w:rPr>
              <w:t xml:space="preserve"> </w:t>
            </w:r>
            <w:r w:rsidR="00555305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Effort on Project</w:t>
            </w:r>
            <w:r>
              <w:rPr>
                <w:sz w:val="20"/>
                <w:szCs w:val="20"/>
              </w:rPr>
              <w:t xml:space="preserve"> </w:t>
            </w:r>
            <w:r w:rsidRPr="00F008E5">
              <w:rPr>
                <w:sz w:val="20"/>
                <w:szCs w:val="20"/>
              </w:rPr>
              <w:t xml:space="preserve">(Line A </w:t>
            </w:r>
            <w:r w:rsidR="0092082C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Line C)</w:t>
            </w:r>
          </w:p>
        </w:tc>
        <w:tc>
          <w:tcPr>
            <w:tcW w:w="2268" w:type="dxa"/>
          </w:tcPr>
          <w:p w14:paraId="455CEB53" w14:textId="7C174C41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>
              <w:t>$40,000.00</w:t>
            </w:r>
          </w:p>
        </w:tc>
        <w:tc>
          <w:tcPr>
            <w:tcW w:w="2182" w:type="dxa"/>
          </w:tcPr>
          <w:p w14:paraId="18BCA34D" w14:textId="31BC7AAA" w:rsidR="00767BBB" w:rsidRDefault="00767BBB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>
              <w:t>$30,000.00</w:t>
            </w:r>
          </w:p>
        </w:tc>
      </w:tr>
      <w:tr w:rsidR="00767BBB" w14:paraId="2C671357" w14:textId="77777777" w:rsidTr="006C118C">
        <w:trPr>
          <w:tblHeader/>
        </w:trPr>
        <w:tc>
          <w:tcPr>
            <w:tcW w:w="8500" w:type="dxa"/>
          </w:tcPr>
          <w:p w14:paraId="5953529D" w14:textId="68D17B6D" w:rsidR="00767BBB" w:rsidRPr="007D0D20" w:rsidRDefault="007D0D20" w:rsidP="00CB4D1A">
            <w:pPr>
              <w:pStyle w:val="Default"/>
              <w:spacing w:after="240"/>
              <w:rPr>
                <w:sz w:val="20"/>
                <w:szCs w:val="20"/>
              </w:rPr>
            </w:pPr>
            <w:r w:rsidRPr="0057282F">
              <w:t xml:space="preserve">E. </w:t>
            </w:r>
            <w:r w:rsidRPr="005E49FE">
              <w:t>Allowable Payroll on Project:</w:t>
            </w:r>
            <w:r w:rsidRPr="0057282F">
              <w:t xml:space="preserve"> </w:t>
            </w:r>
            <w:r w:rsidR="00CB4D1A">
              <w:br/>
            </w:r>
            <w:r w:rsidRPr="00F008E5">
              <w:rPr>
                <w:sz w:val="20"/>
                <w:szCs w:val="20"/>
              </w:rPr>
              <w:t xml:space="preserve">Annual Salary Limitation </w:t>
            </w:r>
            <w:r w:rsidR="00555305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Effort on Project (Line B </w:t>
            </w:r>
            <w:r w:rsidR="0092082C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Line C)</w:t>
            </w:r>
          </w:p>
        </w:tc>
        <w:tc>
          <w:tcPr>
            <w:tcW w:w="2268" w:type="dxa"/>
          </w:tcPr>
          <w:p w14:paraId="6C952926" w14:textId="78FE6ED1" w:rsidR="00767BBB" w:rsidRDefault="007D0D20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>$</w:t>
            </w:r>
            <w:r w:rsidR="000247D2">
              <w:t>3</w:t>
            </w:r>
            <w:r w:rsidR="00E228D8">
              <w:t>7,368.75</w:t>
            </w:r>
          </w:p>
        </w:tc>
        <w:tc>
          <w:tcPr>
            <w:tcW w:w="2182" w:type="dxa"/>
          </w:tcPr>
          <w:p w14:paraId="31588806" w14:textId="11361CDF" w:rsidR="00767BBB" w:rsidRPr="007D0D20" w:rsidRDefault="007D0D20" w:rsidP="007D0D20">
            <w:pPr>
              <w:pStyle w:val="Default"/>
            </w:pPr>
            <w:r w:rsidRPr="0057282F">
              <w:t>$</w:t>
            </w:r>
            <w:r w:rsidR="000247D2">
              <w:t>22,</w:t>
            </w:r>
            <w:r w:rsidR="00E228D8">
              <w:t>421.25</w:t>
            </w:r>
          </w:p>
        </w:tc>
      </w:tr>
      <w:tr w:rsidR="00767BBB" w14:paraId="375DCBF0" w14:textId="77777777" w:rsidTr="006C118C">
        <w:trPr>
          <w:tblHeader/>
        </w:trPr>
        <w:tc>
          <w:tcPr>
            <w:tcW w:w="8500" w:type="dxa"/>
          </w:tcPr>
          <w:p w14:paraId="095DBD30" w14:textId="114B1F51" w:rsidR="00767BBB" w:rsidRPr="007D0D20" w:rsidRDefault="007D0D20" w:rsidP="008557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82F">
              <w:t xml:space="preserve">F. </w:t>
            </w:r>
            <w:r>
              <w:t>Unallowable Portion Recorded as INST Cost Share</w:t>
            </w:r>
            <w:r w:rsidR="00CB4D1A">
              <w:br/>
            </w:r>
            <w:r w:rsidRPr="00DB51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Salary Applicable to the Project </w:t>
            </w:r>
            <w:r w:rsidR="00555305">
              <w:rPr>
                <w:rFonts w:asciiTheme="minorHAnsi" w:eastAsia="Times New Roman" w:hAnsiTheme="minorHAnsi" w:cstheme="minorHAnsi"/>
                <w:sz w:val="20"/>
                <w:szCs w:val="20"/>
              </w:rPr>
              <w:t>−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Allowable Payroll on Project </w:t>
            </w:r>
            <w:r w:rsidRPr="00DB51E0">
              <w:rPr>
                <w:rFonts w:asciiTheme="minorHAnsi" w:hAnsiTheme="minorHAnsi" w:cstheme="minorHAnsi"/>
                <w:sz w:val="20"/>
                <w:szCs w:val="20"/>
              </w:rPr>
              <w:t xml:space="preserve">(Line D </w:t>
            </w:r>
            <w:r w:rsidR="00555305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DB51E0">
              <w:rPr>
                <w:rFonts w:asciiTheme="minorHAnsi" w:hAnsiTheme="minorHAnsi" w:cstheme="minorHAnsi"/>
                <w:sz w:val="20"/>
                <w:szCs w:val="20"/>
              </w:rPr>
              <w:t xml:space="preserve"> Line E)</w:t>
            </w:r>
          </w:p>
        </w:tc>
        <w:tc>
          <w:tcPr>
            <w:tcW w:w="2268" w:type="dxa"/>
          </w:tcPr>
          <w:p w14:paraId="6C2F7FF9" w14:textId="265FE5F8" w:rsidR="00767BBB" w:rsidRDefault="007D0D20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 xml:space="preserve">$ </w:t>
            </w:r>
            <w:r w:rsidR="00E228D8">
              <w:t>2,631.25</w:t>
            </w:r>
          </w:p>
        </w:tc>
        <w:tc>
          <w:tcPr>
            <w:tcW w:w="2182" w:type="dxa"/>
          </w:tcPr>
          <w:p w14:paraId="754D73BB" w14:textId="50C0538F" w:rsidR="00767BBB" w:rsidRDefault="007D0D20" w:rsidP="006366EA">
            <w:pPr>
              <w:pStyle w:val="Default"/>
              <w:spacing w:after="240"/>
              <w:rPr>
                <w:b/>
                <w:bCs/>
                <w:i/>
                <w:iCs/>
              </w:rPr>
            </w:pPr>
            <w:r w:rsidRPr="0057282F">
              <w:t xml:space="preserve">$ </w:t>
            </w:r>
            <w:r w:rsidR="000247D2">
              <w:t>7,</w:t>
            </w:r>
            <w:r w:rsidR="00E228D8">
              <w:t>578.75</w:t>
            </w:r>
          </w:p>
        </w:tc>
      </w:tr>
    </w:tbl>
    <w:p w14:paraId="5D153B52" w14:textId="667248F0" w:rsidR="00C77D9B" w:rsidRPr="00C77D9B" w:rsidRDefault="00C77D9B" w:rsidP="00107926">
      <w:pPr>
        <w:pStyle w:val="Heading2"/>
        <w:spacing w:before="1440"/>
      </w:pPr>
      <w:r>
        <w:lastRenderedPageBreak/>
        <w:t xml:space="preserve">Salary Limitation for Academic Summer Appointments </w:t>
      </w:r>
    </w:p>
    <w:p w14:paraId="77E382F0" w14:textId="6B25991A" w:rsidR="00ED041A" w:rsidRPr="007D0D20" w:rsidRDefault="00C77D9B" w:rsidP="007D0D20">
      <w:pPr>
        <w:pStyle w:val="Default"/>
        <w:spacing w:after="240"/>
      </w:pPr>
      <w:r w:rsidRPr="00623436">
        <w:t>The salary limitation calculation for academic summer appoin</w:t>
      </w:r>
      <w:r w:rsidR="009F5CA5">
        <w:t>tments is ba</w:t>
      </w:r>
      <w:r w:rsidR="00CA4050">
        <w:t>sed on the A</w:t>
      </w:r>
      <w:r w:rsidR="009F5CA5">
        <w:t xml:space="preserve">cademic </w:t>
      </w:r>
      <w:r w:rsidR="00CA4050" w:rsidRPr="0057282F">
        <w:t xml:space="preserve">Annual Salary Limitation at IU </w:t>
      </w:r>
      <w:r w:rsidR="00CA4050">
        <w:t>(EL2)</w:t>
      </w:r>
      <w:r w:rsidR="00D057D1">
        <w:t>,</w:t>
      </w:r>
      <w:r w:rsidR="00CA4050">
        <w:t xml:space="preserve"> </w:t>
      </w:r>
      <w:r w:rsidRPr="00623436">
        <w:t xml:space="preserve">prorated for the number of weeks of summer salary </w:t>
      </w:r>
      <w:r w:rsidR="00E04D87">
        <w:t>earned</w:t>
      </w:r>
      <w:r w:rsidRPr="00623436">
        <w:t>. Below is a sample</w:t>
      </w:r>
      <w:r w:rsidR="00D057D1">
        <w:t xml:space="preserve"> calculation</w:t>
      </w:r>
      <w:r w:rsidRPr="00623436">
        <w:t xml:space="preserve"> of the </w:t>
      </w:r>
      <w:r w:rsidR="004B5E5A">
        <w:t xml:space="preserve">weekly </w:t>
      </w:r>
      <w:r w:rsidRPr="00623436">
        <w:t xml:space="preserve">summer salary limitation </w:t>
      </w:r>
      <w:r w:rsidR="004B5E5A">
        <w:t xml:space="preserve">rate </w:t>
      </w:r>
      <w:r w:rsidRPr="00623436">
        <w:t>under Executive Level II.</w:t>
      </w:r>
    </w:p>
    <w:p w14:paraId="6E2332F6" w14:textId="7EC04CC9" w:rsidR="00C77D9B" w:rsidRDefault="00C77D9B" w:rsidP="00DF0EC6">
      <w:pPr>
        <w:pStyle w:val="Heading3"/>
      </w:pPr>
      <w:r w:rsidRPr="00A10D18">
        <w:t xml:space="preserve">Sample Calculation of </w:t>
      </w:r>
      <w:r w:rsidRPr="00DF0EC6">
        <w:t>Summer</w:t>
      </w:r>
      <w:r w:rsidRPr="00A10D18">
        <w:t xml:space="preserve"> Salary Limitation under Executive Level II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ple Calculation of Summer Salary Limitation under Executive Level II"/>
        <w:tblDescription w:val="Sample Calculation of Summer Salary Limitation under Executive Level II"/>
      </w:tblPr>
      <w:tblGrid>
        <w:gridCol w:w="8359"/>
        <w:gridCol w:w="2409"/>
        <w:gridCol w:w="2182"/>
      </w:tblGrid>
      <w:tr w:rsidR="007D0D20" w14:paraId="2C91EE1A" w14:textId="77777777" w:rsidTr="00B247FF">
        <w:trPr>
          <w:tblHeader/>
        </w:trPr>
        <w:tc>
          <w:tcPr>
            <w:tcW w:w="8359" w:type="dxa"/>
          </w:tcPr>
          <w:p w14:paraId="40786D5C" w14:textId="77777777" w:rsidR="007D0D20" w:rsidRDefault="007D0D20" w:rsidP="007D0D20">
            <w:pPr>
              <w:pStyle w:val="Default"/>
              <w:spacing w:after="240"/>
              <w:rPr>
                <w:i/>
              </w:rPr>
            </w:pPr>
          </w:p>
        </w:tc>
        <w:tc>
          <w:tcPr>
            <w:tcW w:w="2409" w:type="dxa"/>
          </w:tcPr>
          <w:p w14:paraId="670835AA" w14:textId="4E3201B6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Example I</w:t>
            </w:r>
          </w:p>
        </w:tc>
        <w:tc>
          <w:tcPr>
            <w:tcW w:w="2182" w:type="dxa"/>
          </w:tcPr>
          <w:p w14:paraId="40FFB365" w14:textId="2A131C18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Example 2</w:t>
            </w:r>
          </w:p>
        </w:tc>
      </w:tr>
      <w:tr w:rsidR="007D0D20" w14:paraId="50472D11" w14:textId="77777777" w:rsidTr="00B247FF">
        <w:trPr>
          <w:tblHeader/>
        </w:trPr>
        <w:tc>
          <w:tcPr>
            <w:tcW w:w="8359" w:type="dxa"/>
          </w:tcPr>
          <w:p w14:paraId="75682F10" w14:textId="5008AC2E" w:rsidR="007D0D20" w:rsidRPr="007D0D20" w:rsidRDefault="007D0D20" w:rsidP="004B3783">
            <w:pPr>
              <w:pStyle w:val="Default"/>
              <w:spacing w:line="480" w:lineRule="auto"/>
            </w:pPr>
            <w:r>
              <w:t xml:space="preserve">A. Previous </w:t>
            </w:r>
            <w:r w:rsidRPr="00623436">
              <w:t xml:space="preserve">Academic Year Base Salary </w:t>
            </w:r>
            <w:r>
              <w:t>(Institutional base salary)</w:t>
            </w:r>
          </w:p>
        </w:tc>
        <w:tc>
          <w:tcPr>
            <w:tcW w:w="2409" w:type="dxa"/>
          </w:tcPr>
          <w:p w14:paraId="38E26DED" w14:textId="55BFE4A2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$160,000.00</w:t>
            </w:r>
          </w:p>
        </w:tc>
        <w:tc>
          <w:tcPr>
            <w:tcW w:w="2182" w:type="dxa"/>
          </w:tcPr>
          <w:p w14:paraId="619FF357" w14:textId="03F18E49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$200,000.00</w:t>
            </w:r>
          </w:p>
        </w:tc>
      </w:tr>
      <w:tr w:rsidR="007D0D20" w14:paraId="6BBF45AE" w14:textId="77777777" w:rsidTr="00B247FF">
        <w:trPr>
          <w:tblHeader/>
        </w:trPr>
        <w:tc>
          <w:tcPr>
            <w:tcW w:w="8359" w:type="dxa"/>
          </w:tcPr>
          <w:p w14:paraId="5598C48F" w14:textId="5C4B6620" w:rsidR="007D0D20" w:rsidRPr="007D0D20" w:rsidRDefault="007D0D20" w:rsidP="00B74D06">
            <w:pPr>
              <w:pStyle w:val="Default"/>
              <w:spacing w:after="240"/>
              <w:rPr>
                <w:sz w:val="20"/>
                <w:szCs w:val="20"/>
              </w:rPr>
            </w:pPr>
            <w:r>
              <w:t>B</w:t>
            </w:r>
            <w:r w:rsidRPr="00623436">
              <w:t>.</w:t>
            </w:r>
            <w:r w:rsidR="00E15D83">
              <w:t xml:space="preserve"> </w:t>
            </w:r>
            <w:r>
              <w:t>Weekly Summer Rate of Pay</w:t>
            </w:r>
            <w:r w:rsidRPr="00623436">
              <w:t xml:space="preserve"> </w:t>
            </w:r>
            <w:r w:rsidR="00B74D06">
              <w:br/>
            </w:r>
            <w:r w:rsidRPr="00F008E5">
              <w:rPr>
                <w:sz w:val="20"/>
                <w:szCs w:val="20"/>
              </w:rPr>
              <w:t xml:space="preserve">IU </w:t>
            </w:r>
            <w:r>
              <w:rPr>
                <w:sz w:val="20"/>
                <w:szCs w:val="20"/>
              </w:rPr>
              <w:t>Academic Year</w:t>
            </w:r>
            <w:r w:rsidRPr="00F008E5">
              <w:rPr>
                <w:sz w:val="20"/>
                <w:szCs w:val="20"/>
              </w:rPr>
              <w:t xml:space="preserve"> Base Salary </w:t>
            </w:r>
            <w:r w:rsidR="00E335C4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2.5% (Weekly rate by IU Policy</w:t>
            </w:r>
            <w:r w:rsidR="008B7FD0" w:rsidRPr="008B7FD0">
              <w:rPr>
                <w:rStyle w:val="FootnoteReference"/>
                <w:sz w:val="20"/>
                <w:szCs w:val="20"/>
              </w:rPr>
              <w:footnoteReference w:customMarkFollows="1" w:id="1"/>
              <w:sym w:font="Symbol" w:char="F02A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0B9848E" w14:textId="5BC550C5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$4,000.00</w:t>
            </w:r>
          </w:p>
        </w:tc>
        <w:tc>
          <w:tcPr>
            <w:tcW w:w="2182" w:type="dxa"/>
          </w:tcPr>
          <w:p w14:paraId="481F16EC" w14:textId="550DD126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623436">
              <w:t>$</w:t>
            </w:r>
            <w:r>
              <w:t>5,000</w:t>
            </w:r>
            <w:r w:rsidRPr="00623436">
              <w:t>.00</w:t>
            </w:r>
          </w:p>
        </w:tc>
      </w:tr>
      <w:tr w:rsidR="007D0D20" w14:paraId="49387AEF" w14:textId="77777777" w:rsidTr="00B247FF">
        <w:trPr>
          <w:tblHeader/>
        </w:trPr>
        <w:tc>
          <w:tcPr>
            <w:tcW w:w="8359" w:type="dxa"/>
          </w:tcPr>
          <w:p w14:paraId="23E11E45" w14:textId="4E46C2B5" w:rsidR="007D0D20" w:rsidRPr="007D0D20" w:rsidRDefault="007D0D20" w:rsidP="00B74D06">
            <w:pPr>
              <w:pStyle w:val="Default"/>
              <w:spacing w:after="240"/>
              <w:rPr>
                <w:sz w:val="20"/>
                <w:szCs w:val="20"/>
              </w:rPr>
            </w:pPr>
            <w:r>
              <w:t xml:space="preserve">C. </w:t>
            </w:r>
            <w:r w:rsidRPr="00623436">
              <w:t>Executive Level II Summer Salary Limit (</w:t>
            </w:r>
            <w:r>
              <w:t>Weekly Rate</w:t>
            </w:r>
            <w:r w:rsidRPr="00623436">
              <w:t>)</w:t>
            </w:r>
            <w:r w:rsidR="00B74D06">
              <w:br/>
            </w:r>
            <w:r w:rsidRPr="00F008E5">
              <w:rPr>
                <w:sz w:val="20"/>
                <w:szCs w:val="20"/>
              </w:rPr>
              <w:t>Annual</w:t>
            </w:r>
            <w:r>
              <w:rPr>
                <w:sz w:val="20"/>
                <w:szCs w:val="20"/>
              </w:rPr>
              <w:t xml:space="preserve"> Academic </w:t>
            </w:r>
            <w:r w:rsidRPr="00F008E5">
              <w:rPr>
                <w:sz w:val="20"/>
                <w:szCs w:val="20"/>
              </w:rPr>
              <w:t>Salary</w:t>
            </w:r>
            <w:r>
              <w:rPr>
                <w:sz w:val="20"/>
                <w:szCs w:val="20"/>
              </w:rPr>
              <w:t xml:space="preserve"> Limitation</w:t>
            </w:r>
            <w:r w:rsidRPr="00F008E5">
              <w:rPr>
                <w:sz w:val="20"/>
                <w:szCs w:val="20"/>
              </w:rPr>
              <w:t xml:space="preserve"> </w:t>
            </w:r>
            <w:r w:rsidR="00D8190B">
              <w:rPr>
                <w:sz w:val="20"/>
                <w:szCs w:val="20"/>
              </w:rPr>
              <w:t>($14</w:t>
            </w:r>
            <w:r w:rsidR="00E228D8">
              <w:rPr>
                <w:sz w:val="20"/>
                <w:szCs w:val="20"/>
              </w:rPr>
              <w:t>9</w:t>
            </w:r>
            <w:r w:rsidR="00D8190B">
              <w:rPr>
                <w:sz w:val="20"/>
                <w:szCs w:val="20"/>
              </w:rPr>
              <w:t>,</w:t>
            </w:r>
            <w:r w:rsidR="00E228D8">
              <w:rPr>
                <w:sz w:val="20"/>
                <w:szCs w:val="20"/>
              </w:rPr>
              <w:t>4</w:t>
            </w:r>
            <w:r w:rsidR="00D8190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.00) </w:t>
            </w:r>
            <w:r w:rsidR="00164BB5">
              <w:rPr>
                <w:sz w:val="20"/>
                <w:szCs w:val="20"/>
              </w:rPr>
              <w:t>×</w:t>
            </w:r>
            <w:r w:rsidRPr="00F00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2.5% (Weekly rate by IU Policy*)</w:t>
            </w:r>
          </w:p>
        </w:tc>
        <w:tc>
          <w:tcPr>
            <w:tcW w:w="2409" w:type="dxa"/>
          </w:tcPr>
          <w:p w14:paraId="0E5312DD" w14:textId="1F87FC90" w:rsidR="007D0D20" w:rsidRDefault="00D8190B" w:rsidP="007D0D20">
            <w:pPr>
              <w:pStyle w:val="Default"/>
              <w:spacing w:after="240"/>
              <w:rPr>
                <w:i/>
              </w:rPr>
            </w:pPr>
            <w:r>
              <w:t>$3,</w:t>
            </w:r>
            <w:r w:rsidR="00E228D8">
              <w:t>736.88</w:t>
            </w:r>
          </w:p>
        </w:tc>
        <w:tc>
          <w:tcPr>
            <w:tcW w:w="2182" w:type="dxa"/>
          </w:tcPr>
          <w:p w14:paraId="24075AF0" w14:textId="21AEFD4B" w:rsidR="007D0D20" w:rsidRDefault="007D0D20" w:rsidP="00D8190B">
            <w:pPr>
              <w:pStyle w:val="Default"/>
              <w:spacing w:after="240"/>
              <w:rPr>
                <w:i/>
              </w:rPr>
            </w:pPr>
            <w:r>
              <w:t>$3,</w:t>
            </w:r>
            <w:r w:rsidR="00E228D8">
              <w:t>736.88</w:t>
            </w:r>
          </w:p>
        </w:tc>
      </w:tr>
      <w:tr w:rsidR="007D0D20" w14:paraId="64B43C8F" w14:textId="77777777" w:rsidTr="00B247FF">
        <w:trPr>
          <w:tblHeader/>
        </w:trPr>
        <w:tc>
          <w:tcPr>
            <w:tcW w:w="8359" w:type="dxa"/>
          </w:tcPr>
          <w:p w14:paraId="16D1032F" w14:textId="49BFC8EC" w:rsidR="007D0D20" w:rsidRPr="007D0D20" w:rsidRDefault="007D0D20" w:rsidP="003F2836">
            <w:pPr>
              <w:pStyle w:val="Default"/>
            </w:pPr>
            <w:r>
              <w:t>D. Unallowable Portion Recorded as INST Cost Share</w:t>
            </w:r>
            <w:r w:rsidR="003F2836">
              <w:br/>
            </w:r>
            <w:r w:rsidRPr="00DB51E0">
              <w:rPr>
                <w:rFonts w:eastAsia="Times New Roman" w:cstheme="minorHAnsi"/>
                <w:sz w:val="20"/>
                <w:szCs w:val="20"/>
              </w:rPr>
              <w:t>Salary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Applicable to the Project </w:t>
            </w:r>
            <w:r w:rsidR="004B0D5A">
              <w:rPr>
                <w:rFonts w:eastAsia="Times New Roman"/>
                <w:sz w:val="20"/>
                <w:szCs w:val="20"/>
              </w:rPr>
              <w:t>−</w:t>
            </w:r>
            <w:r w:rsidRPr="00DB51E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Allowable Payroll on Project </w:t>
            </w:r>
            <w:r>
              <w:rPr>
                <w:rFonts w:cstheme="minorHAnsi"/>
                <w:sz w:val="20"/>
                <w:szCs w:val="20"/>
              </w:rPr>
              <w:t>(Line B</w:t>
            </w:r>
            <w:r w:rsidRPr="00DB51E0">
              <w:rPr>
                <w:rFonts w:cstheme="minorHAnsi"/>
                <w:sz w:val="20"/>
                <w:szCs w:val="20"/>
              </w:rPr>
              <w:t xml:space="preserve"> </w:t>
            </w:r>
            <w:r w:rsidR="004B0D5A">
              <w:rPr>
                <w:sz w:val="20"/>
                <w:szCs w:val="20"/>
              </w:rPr>
              <w:t>−</w:t>
            </w:r>
            <w:r w:rsidRPr="00DB51E0">
              <w:rPr>
                <w:rFonts w:cstheme="minorHAnsi"/>
                <w:sz w:val="20"/>
                <w:szCs w:val="20"/>
              </w:rPr>
              <w:t xml:space="preserve"> Line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DB51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B73EC2D" w14:textId="063CAA8E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57282F">
              <w:t xml:space="preserve">$ </w:t>
            </w:r>
            <w:r w:rsidR="00E228D8">
              <w:t>263.13</w:t>
            </w:r>
          </w:p>
        </w:tc>
        <w:tc>
          <w:tcPr>
            <w:tcW w:w="2182" w:type="dxa"/>
          </w:tcPr>
          <w:p w14:paraId="59386CD6" w14:textId="2CF74F07" w:rsidR="007D0D20" w:rsidRDefault="007D0D20" w:rsidP="007D0D20">
            <w:pPr>
              <w:pStyle w:val="Default"/>
              <w:spacing w:after="240"/>
              <w:rPr>
                <w:i/>
              </w:rPr>
            </w:pPr>
            <w:r w:rsidRPr="0057282F">
              <w:t xml:space="preserve">$ </w:t>
            </w:r>
            <w:r w:rsidR="00D8190B">
              <w:t>1,</w:t>
            </w:r>
            <w:r w:rsidR="00E228D8">
              <w:t>263.13</w:t>
            </w:r>
          </w:p>
        </w:tc>
      </w:tr>
    </w:tbl>
    <w:p w14:paraId="1907074E" w14:textId="01566415" w:rsidR="005B5832" w:rsidRDefault="005B5832" w:rsidP="008B7FD0">
      <w:pPr>
        <w:rPr>
          <w:sz w:val="24"/>
          <w:szCs w:val="24"/>
        </w:rPr>
      </w:pPr>
    </w:p>
    <w:sectPr w:rsidR="005B5832" w:rsidSect="0005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B764" w14:textId="77777777" w:rsidR="0058496B" w:rsidRDefault="0058496B" w:rsidP="00D36EE5">
      <w:pPr>
        <w:spacing w:after="0" w:line="240" w:lineRule="auto"/>
      </w:pPr>
      <w:r>
        <w:separator/>
      </w:r>
    </w:p>
  </w:endnote>
  <w:endnote w:type="continuationSeparator" w:id="0">
    <w:p w14:paraId="22DA794B" w14:textId="77777777" w:rsidR="0058496B" w:rsidRDefault="0058496B" w:rsidP="00D3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8625" w14:textId="77777777" w:rsidR="0058496B" w:rsidRDefault="0058496B" w:rsidP="00D36EE5">
      <w:pPr>
        <w:spacing w:after="0" w:line="240" w:lineRule="auto"/>
      </w:pPr>
      <w:r>
        <w:separator/>
      </w:r>
    </w:p>
  </w:footnote>
  <w:footnote w:type="continuationSeparator" w:id="0">
    <w:p w14:paraId="75E09055" w14:textId="77777777" w:rsidR="0058496B" w:rsidRDefault="0058496B" w:rsidP="00D36EE5">
      <w:pPr>
        <w:spacing w:after="0" w:line="240" w:lineRule="auto"/>
      </w:pPr>
      <w:r>
        <w:continuationSeparator/>
      </w:r>
    </w:p>
  </w:footnote>
  <w:footnote w:id="1">
    <w:p w14:paraId="7FA7E72E" w14:textId="3083C04B" w:rsidR="008B7FD0" w:rsidRDefault="008B7FD0" w:rsidP="001C13F6">
      <w:pPr>
        <w:pStyle w:val="FootnoteText"/>
        <w:spacing w:after="120"/>
      </w:pPr>
      <w:r w:rsidRPr="008B7FD0">
        <w:rPr>
          <w:rStyle w:val="FootnoteReference"/>
        </w:rPr>
        <w:sym w:font="Symbol" w:char="F02A"/>
      </w:r>
      <w:r>
        <w:rPr>
          <w:sz w:val="24"/>
          <w:szCs w:val="24"/>
        </w:rPr>
        <w:t xml:space="preserve">IU </w:t>
      </w:r>
      <w:r w:rsidRPr="009F5CA5">
        <w:rPr>
          <w:sz w:val="24"/>
          <w:szCs w:val="24"/>
        </w:rPr>
        <w:t xml:space="preserve">Policy - </w:t>
      </w:r>
      <w:hyperlink r:id="rId1" w:history="1">
        <w:r>
          <w:rPr>
            <w:rStyle w:val="Hyperlink"/>
            <w:sz w:val="24"/>
            <w:szCs w:val="24"/>
          </w:rPr>
          <w:t>Summer Salary from Sponsored Program Accounts SPA-11-015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 w15:restartNumberingAfterBreak="0">
    <w:nsid w:val="032674CD"/>
    <w:multiLevelType w:val="multilevel"/>
    <w:tmpl w:val="49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4500C"/>
    <w:multiLevelType w:val="hybridMultilevel"/>
    <w:tmpl w:val="D114A8E8"/>
    <w:lvl w:ilvl="0" w:tplc="5AE2E43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77"/>
    <w:rsid w:val="000246BD"/>
    <w:rsid w:val="000247D2"/>
    <w:rsid w:val="00025A6A"/>
    <w:rsid w:val="00053377"/>
    <w:rsid w:val="000B6955"/>
    <w:rsid w:val="000D47C2"/>
    <w:rsid w:val="000E1B0A"/>
    <w:rsid w:val="000F0388"/>
    <w:rsid w:val="000F0C0C"/>
    <w:rsid w:val="00107926"/>
    <w:rsid w:val="00160771"/>
    <w:rsid w:val="00164BB5"/>
    <w:rsid w:val="00167E13"/>
    <w:rsid w:val="0017735A"/>
    <w:rsid w:val="001A4C2F"/>
    <w:rsid w:val="001C13F6"/>
    <w:rsid w:val="00234ABB"/>
    <w:rsid w:val="00262140"/>
    <w:rsid w:val="002851D3"/>
    <w:rsid w:val="00294F4D"/>
    <w:rsid w:val="002A2BB8"/>
    <w:rsid w:val="003116D5"/>
    <w:rsid w:val="00380FDD"/>
    <w:rsid w:val="003F2836"/>
    <w:rsid w:val="004271F1"/>
    <w:rsid w:val="004A43D9"/>
    <w:rsid w:val="004B0D5A"/>
    <w:rsid w:val="004B3783"/>
    <w:rsid w:val="004B5E5A"/>
    <w:rsid w:val="00526E5C"/>
    <w:rsid w:val="00555305"/>
    <w:rsid w:val="0057282F"/>
    <w:rsid w:val="0058496B"/>
    <w:rsid w:val="005A4116"/>
    <w:rsid w:val="005B5832"/>
    <w:rsid w:val="005E49FE"/>
    <w:rsid w:val="00623436"/>
    <w:rsid w:val="006366EA"/>
    <w:rsid w:val="006B64B1"/>
    <w:rsid w:val="006C118C"/>
    <w:rsid w:val="006C6E3C"/>
    <w:rsid w:val="006D0DAE"/>
    <w:rsid w:val="006D2D7E"/>
    <w:rsid w:val="006E4906"/>
    <w:rsid w:val="006E7DC0"/>
    <w:rsid w:val="00701760"/>
    <w:rsid w:val="00717D0A"/>
    <w:rsid w:val="00737A81"/>
    <w:rsid w:val="00765A46"/>
    <w:rsid w:val="00767BBB"/>
    <w:rsid w:val="00771C8C"/>
    <w:rsid w:val="00773191"/>
    <w:rsid w:val="007A4267"/>
    <w:rsid w:val="007C18B4"/>
    <w:rsid w:val="007C6B1A"/>
    <w:rsid w:val="007D0D20"/>
    <w:rsid w:val="00845572"/>
    <w:rsid w:val="00854980"/>
    <w:rsid w:val="0085578F"/>
    <w:rsid w:val="008916C5"/>
    <w:rsid w:val="008B7FD0"/>
    <w:rsid w:val="00913E0F"/>
    <w:rsid w:val="0092082C"/>
    <w:rsid w:val="00942025"/>
    <w:rsid w:val="00953FA9"/>
    <w:rsid w:val="00971A25"/>
    <w:rsid w:val="00984AF9"/>
    <w:rsid w:val="00984C17"/>
    <w:rsid w:val="0099159A"/>
    <w:rsid w:val="00992152"/>
    <w:rsid w:val="009B10E2"/>
    <w:rsid w:val="009E16EB"/>
    <w:rsid w:val="009E1C00"/>
    <w:rsid w:val="009F5CA5"/>
    <w:rsid w:val="00A10D18"/>
    <w:rsid w:val="00A2351A"/>
    <w:rsid w:val="00A32A1A"/>
    <w:rsid w:val="00AB24BD"/>
    <w:rsid w:val="00AC5751"/>
    <w:rsid w:val="00AC6C96"/>
    <w:rsid w:val="00AE0D4E"/>
    <w:rsid w:val="00B247FF"/>
    <w:rsid w:val="00B3446F"/>
    <w:rsid w:val="00B54236"/>
    <w:rsid w:val="00B74D06"/>
    <w:rsid w:val="00BB36F9"/>
    <w:rsid w:val="00BB38A5"/>
    <w:rsid w:val="00BE15C1"/>
    <w:rsid w:val="00BE1D7E"/>
    <w:rsid w:val="00C06358"/>
    <w:rsid w:val="00C07D3C"/>
    <w:rsid w:val="00C26494"/>
    <w:rsid w:val="00C303B9"/>
    <w:rsid w:val="00C36EAB"/>
    <w:rsid w:val="00C77D9B"/>
    <w:rsid w:val="00C8382E"/>
    <w:rsid w:val="00C84B7B"/>
    <w:rsid w:val="00CA4050"/>
    <w:rsid w:val="00CB4D1A"/>
    <w:rsid w:val="00CB6D21"/>
    <w:rsid w:val="00CE40ED"/>
    <w:rsid w:val="00CE6F86"/>
    <w:rsid w:val="00CE712B"/>
    <w:rsid w:val="00CF134E"/>
    <w:rsid w:val="00D0313F"/>
    <w:rsid w:val="00D04BDA"/>
    <w:rsid w:val="00D057D1"/>
    <w:rsid w:val="00D11DDE"/>
    <w:rsid w:val="00D31651"/>
    <w:rsid w:val="00D36EE5"/>
    <w:rsid w:val="00D51232"/>
    <w:rsid w:val="00D64505"/>
    <w:rsid w:val="00D8190B"/>
    <w:rsid w:val="00DB51E0"/>
    <w:rsid w:val="00DD4845"/>
    <w:rsid w:val="00DE0CE9"/>
    <w:rsid w:val="00DF0EC6"/>
    <w:rsid w:val="00E04D87"/>
    <w:rsid w:val="00E15D83"/>
    <w:rsid w:val="00E228D8"/>
    <w:rsid w:val="00E335C4"/>
    <w:rsid w:val="00E55CE3"/>
    <w:rsid w:val="00E564B0"/>
    <w:rsid w:val="00E665C2"/>
    <w:rsid w:val="00E83507"/>
    <w:rsid w:val="00ED041A"/>
    <w:rsid w:val="00EF4F04"/>
    <w:rsid w:val="00EF6520"/>
    <w:rsid w:val="00F05D6B"/>
    <w:rsid w:val="00F20776"/>
    <w:rsid w:val="00F23A2C"/>
    <w:rsid w:val="00F25C16"/>
    <w:rsid w:val="00F511F2"/>
    <w:rsid w:val="00F64293"/>
    <w:rsid w:val="00F75434"/>
    <w:rsid w:val="00FC467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2DFA"/>
  <w15:chartTrackingRefBased/>
  <w15:docId w15:val="{F97F32F7-13EF-4BA4-931C-89C4FF9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DE0CE9"/>
    <w:pPr>
      <w:spacing w:after="24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B3446F"/>
    <w:pPr>
      <w:spacing w:before="240" w:after="240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DF0EC6"/>
    <w:pPr>
      <w:spacing w:after="24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955"/>
    <w:rPr>
      <w:color w:val="0563C1" w:themeColor="hyperlink"/>
      <w:u w:val="single"/>
    </w:rPr>
  </w:style>
  <w:style w:type="paragraph" w:customStyle="1" w:styleId="Default">
    <w:name w:val="Default"/>
    <w:rsid w:val="00C77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3A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B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15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0CE9"/>
    <w:rPr>
      <w:rFonts w:ascii="Calibri" w:hAnsi="Calibri" w:cs="Calibri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46F"/>
    <w:rPr>
      <w:rFonts w:ascii="Calibri" w:hAnsi="Calibri" w:cs="Calibri"/>
      <w:b/>
      <w:bCs/>
      <w:iCs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76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6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EE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F0EC6"/>
    <w:rPr>
      <w:rFonts w:ascii="Calibri" w:hAnsi="Calibri" w:cs="Calibri"/>
      <w:b/>
      <w:bCs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about/agencies/hhs-agencies-and-offices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cies.iu.edu/policies/spa-11-015-summer-salary-sponsored-program-accou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2C3A-3EAF-42C3-B0DB-D5DF37362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FB4EF-1C27-46A5-8155-A9E039AE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8E005-AD71-414F-9C8E-CF67A219DD67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4.xml><?xml version="1.0" encoding="utf-8"?>
<ds:datastoreItem xmlns:ds="http://schemas.openxmlformats.org/officeDocument/2006/customXml" ds:itemID="{E393006F-8528-45F4-AA59-AB6B6BBA2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Institutes of Health (NIH) Salary Limitation Guidelines for 10-Month Employees</vt:lpstr>
    </vt:vector>
  </TitlesOfParts>
  <Company>Office of Research Administration - RSTS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Institutes of Health (NIH) Salary Limitation Guidelines for 10-Month Employees</dc:title>
  <dc:subject/>
  <dc:creator>Amerine, Rayna</dc:creator>
  <cp:keywords/>
  <dc:description/>
  <cp:lastModifiedBy>Suvidha Bane</cp:lastModifiedBy>
  <cp:revision>2</cp:revision>
  <dcterms:created xsi:type="dcterms:W3CDTF">2021-06-02T13:17:00Z</dcterms:created>
  <dcterms:modified xsi:type="dcterms:W3CDTF">2021-06-02T13:17:00Z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